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438C3" w14:textId="77777777" w:rsidR="00E30C40" w:rsidRPr="00173029" w:rsidRDefault="00E30C40" w:rsidP="00E30C40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173029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AEF0A88" wp14:editId="2F73CB0A">
            <wp:extent cx="495935" cy="573405"/>
            <wp:effectExtent l="0" t="0" r="0" b="0"/>
            <wp:docPr id="1" name="Picture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28A3A" w14:textId="77777777" w:rsidR="00E30C40" w:rsidRPr="00173029" w:rsidRDefault="00E30C40" w:rsidP="00E30C40">
      <w:pPr>
        <w:pStyle w:val="NoSpacing"/>
        <w:jc w:val="center"/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t-IT"/>
        </w:rPr>
      </w:pPr>
      <w:r w:rsidRPr="00173029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lang w:val="it-IT"/>
        </w:rPr>
        <w:t>REPUBLIKA E SHQIPËRISË</w:t>
      </w:r>
    </w:p>
    <w:p w14:paraId="221D9070" w14:textId="77777777" w:rsidR="00E30C40" w:rsidRPr="00173029" w:rsidRDefault="00E30C40" w:rsidP="00E30C40">
      <w:pPr>
        <w:tabs>
          <w:tab w:val="left" w:pos="11199"/>
        </w:tabs>
        <w:jc w:val="center"/>
        <w:rPr>
          <w:b/>
          <w:color w:val="000000" w:themeColor="text1"/>
        </w:rPr>
      </w:pPr>
      <w:r w:rsidRPr="00173029">
        <w:rPr>
          <w:b/>
          <w:color w:val="000000" w:themeColor="text1"/>
        </w:rPr>
        <w:t>Kuvendi</w:t>
      </w:r>
    </w:p>
    <w:p w14:paraId="633AE975" w14:textId="77777777" w:rsidR="00E30C40" w:rsidRPr="00173029" w:rsidRDefault="00E30C40" w:rsidP="00E30C40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661B265C" w14:textId="77777777" w:rsidR="00E30C40" w:rsidRPr="00173029" w:rsidRDefault="00E30C40" w:rsidP="00E30C40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A9B971A" w14:textId="77777777" w:rsidR="00E30C40" w:rsidRPr="00173029" w:rsidRDefault="00E30C40" w:rsidP="00E30C40">
      <w:pPr>
        <w:jc w:val="center"/>
        <w:rPr>
          <w:rFonts w:eastAsia="Calibri"/>
          <w:b/>
          <w:bCs/>
          <w:color w:val="000000" w:themeColor="text1"/>
        </w:rPr>
      </w:pPr>
      <w:r w:rsidRPr="00173029">
        <w:rPr>
          <w:rFonts w:eastAsia="Calibri"/>
          <w:b/>
          <w:bCs/>
          <w:color w:val="000000" w:themeColor="text1"/>
        </w:rPr>
        <w:t>P R O J E K T L I GJ</w:t>
      </w:r>
    </w:p>
    <w:p w14:paraId="7E0087B3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562D443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8FC548F" w14:textId="77777777" w:rsidR="00C7272E" w:rsidRPr="00173029" w:rsidRDefault="00E30C40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Nr. _</w:t>
      </w:r>
      <w:r w:rsidR="00030AD0"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____, datë ________</w:t>
      </w:r>
    </w:p>
    <w:p w14:paraId="7344B382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2DA77FF5" w14:textId="77777777" w:rsidR="0059225D" w:rsidRPr="00173029" w:rsidRDefault="0059225D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DE4AC0E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PËR </w:t>
      </w:r>
    </w:p>
    <w:p w14:paraId="18A94498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0B934D7" w14:textId="691FCE2A" w:rsidR="00C7272E" w:rsidRPr="00173029" w:rsidRDefault="0059225D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  <w:t>AMNISTINË FISKALE DHE PENALE PËR SUBJEKTET QË BËJNË DEKLARIM VULLNETAR TË PASURIVE</w:t>
      </w:r>
    </w:p>
    <w:p w14:paraId="4C2CE9BB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20F8BAA" w14:textId="0FE420A5" w:rsidR="00E30C40" w:rsidRPr="00173029" w:rsidRDefault="00443EFE" w:rsidP="00443EFE">
      <w:pPr>
        <w:spacing w:line="276" w:lineRule="auto"/>
        <w:jc w:val="both"/>
        <w:rPr>
          <w:color w:val="000000" w:themeColor="text1"/>
        </w:rPr>
      </w:pPr>
      <w:r w:rsidRPr="00173029">
        <w:rPr>
          <w:color w:val="000000" w:themeColor="text1"/>
          <w:shd w:val="clear" w:color="auto" w:fill="FFFFFF"/>
        </w:rPr>
        <w:t>Në mbështetje të nenit</w:t>
      </w:r>
      <w:r w:rsidR="00030AD0" w:rsidRPr="00173029">
        <w:rPr>
          <w:color w:val="000000" w:themeColor="text1"/>
          <w:shd w:val="clear" w:color="auto" w:fill="FFFFFF"/>
        </w:rPr>
        <w:t xml:space="preserve"> 8</w:t>
      </w:r>
      <w:r w:rsidR="00030AD0" w:rsidRPr="00173029">
        <w:rPr>
          <w:color w:val="000000" w:themeColor="text1"/>
          <w:shd w:val="clear" w:color="auto" w:fill="FFFFFF"/>
          <w:lang w:val="it-IT"/>
        </w:rPr>
        <w:t>1</w:t>
      </w:r>
      <w:r w:rsidR="00CD4A56" w:rsidRPr="00173029">
        <w:rPr>
          <w:color w:val="000000" w:themeColor="text1"/>
          <w:shd w:val="clear" w:color="auto" w:fill="FFFFFF"/>
        </w:rPr>
        <w:t xml:space="preserve">, </w:t>
      </w:r>
      <w:r w:rsidR="00030AD0" w:rsidRPr="00173029">
        <w:rPr>
          <w:color w:val="000000" w:themeColor="text1"/>
          <w:shd w:val="clear" w:color="auto" w:fill="FFFFFF"/>
        </w:rPr>
        <w:t>pika</w:t>
      </w:r>
      <w:r w:rsidR="00B7421B" w:rsidRPr="00173029">
        <w:rPr>
          <w:color w:val="000000" w:themeColor="text1"/>
          <w:shd w:val="clear" w:color="auto" w:fill="FFFFFF"/>
        </w:rPr>
        <w:t>t</w:t>
      </w:r>
      <w:r w:rsidR="00845A18" w:rsidRPr="00173029">
        <w:rPr>
          <w:color w:val="000000" w:themeColor="text1"/>
          <w:shd w:val="clear" w:color="auto" w:fill="FFFFFF"/>
        </w:rPr>
        <w:t xml:space="preserve"> 1 dhe</w:t>
      </w:r>
      <w:r w:rsidR="00030AD0" w:rsidRPr="00173029">
        <w:rPr>
          <w:color w:val="000000" w:themeColor="text1"/>
          <w:shd w:val="clear" w:color="auto" w:fill="FFFFFF"/>
        </w:rPr>
        <w:t xml:space="preserve"> </w:t>
      </w:r>
      <w:r w:rsidR="00030AD0" w:rsidRPr="00173029">
        <w:rPr>
          <w:color w:val="000000" w:themeColor="text1"/>
          <w:shd w:val="clear" w:color="auto" w:fill="FFFFFF"/>
          <w:lang w:val="it-IT"/>
        </w:rPr>
        <w:t>2</w:t>
      </w:r>
      <w:r w:rsidR="00CD4A56" w:rsidRPr="00173029">
        <w:rPr>
          <w:color w:val="000000" w:themeColor="text1"/>
          <w:shd w:val="clear" w:color="auto" w:fill="FFFFFF"/>
          <w:lang w:val="it-IT"/>
        </w:rPr>
        <w:t>,</w:t>
      </w:r>
      <w:r w:rsidR="00030AD0" w:rsidRPr="00173029">
        <w:rPr>
          <w:color w:val="000000" w:themeColor="text1"/>
          <w:shd w:val="clear" w:color="auto" w:fill="FFFFFF"/>
        </w:rPr>
        <w:t xml:space="preserve"> </w:t>
      </w:r>
      <w:r w:rsidR="00845A18" w:rsidRPr="00173029">
        <w:rPr>
          <w:color w:val="000000" w:themeColor="text1"/>
          <w:shd w:val="clear" w:color="auto" w:fill="FFFFFF"/>
        </w:rPr>
        <w:t xml:space="preserve">shkronja </w:t>
      </w:r>
      <w:r w:rsidR="00E30C40" w:rsidRPr="00173029">
        <w:rPr>
          <w:color w:val="000000" w:themeColor="text1"/>
          <w:shd w:val="clear" w:color="auto" w:fill="FFFFFF"/>
        </w:rPr>
        <w:t>“</w:t>
      </w:r>
      <w:r w:rsidR="00845A18" w:rsidRPr="00173029">
        <w:rPr>
          <w:color w:val="000000" w:themeColor="text1"/>
          <w:shd w:val="clear" w:color="auto" w:fill="FFFFFF"/>
        </w:rPr>
        <w:t>ë</w:t>
      </w:r>
      <w:r w:rsidR="00E30C40" w:rsidRPr="00173029">
        <w:rPr>
          <w:color w:val="000000" w:themeColor="text1"/>
          <w:shd w:val="clear" w:color="auto" w:fill="FFFFFF"/>
        </w:rPr>
        <w:t>”</w:t>
      </w:r>
      <w:r w:rsidR="00845A18" w:rsidRPr="00173029">
        <w:rPr>
          <w:color w:val="000000" w:themeColor="text1"/>
          <w:shd w:val="clear" w:color="auto" w:fill="FFFFFF"/>
        </w:rPr>
        <w:t xml:space="preserve"> </w:t>
      </w:r>
      <w:r w:rsidR="00030AD0" w:rsidRPr="00173029">
        <w:rPr>
          <w:color w:val="000000" w:themeColor="text1"/>
          <w:shd w:val="clear" w:color="auto" w:fill="FFFFFF"/>
        </w:rPr>
        <w:t>të Kushtetutës, me propozimin e Këshillit të Ministrave,</w:t>
      </w:r>
      <w:r w:rsidR="00E30C40" w:rsidRPr="00173029">
        <w:rPr>
          <w:color w:val="000000" w:themeColor="text1"/>
        </w:rPr>
        <w:t xml:space="preserve"> Kuvendi i Republikës së Shqipërisë</w:t>
      </w:r>
    </w:p>
    <w:p w14:paraId="596DE5B4" w14:textId="77777777" w:rsidR="00C7272E" w:rsidRPr="00173029" w:rsidRDefault="00C7272E">
      <w:pPr>
        <w:pStyle w:val="Normal1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812086C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B27F41B" w14:textId="77777777" w:rsidR="00C7272E" w:rsidRPr="00173029" w:rsidRDefault="00030AD0">
      <w:pPr>
        <w:pStyle w:val="Normal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VENDOSI:</w:t>
      </w:r>
    </w:p>
    <w:p w14:paraId="76CC9C87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29DD677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KREU I</w:t>
      </w:r>
    </w:p>
    <w:p w14:paraId="1C394A9B" w14:textId="77777777" w:rsidR="00C7272E" w:rsidRPr="00173029" w:rsidRDefault="00030AD0">
      <w:pPr>
        <w:pStyle w:val="Normal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DISPOZITA TË PËRGJITHSHME</w:t>
      </w:r>
    </w:p>
    <w:p w14:paraId="5CEFD8B3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859344C" w14:textId="77777777" w:rsidR="00E30C40" w:rsidRPr="00173029" w:rsidRDefault="00E30C40" w:rsidP="00270C86">
      <w:pPr>
        <w:pStyle w:val="Normal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1384FAF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1</w:t>
      </w:r>
    </w:p>
    <w:p w14:paraId="38559AA8" w14:textId="77777777" w:rsidR="00C7272E" w:rsidRPr="00173029" w:rsidRDefault="00030AD0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Objekti</w:t>
      </w:r>
    </w:p>
    <w:p w14:paraId="471AEDB5" w14:textId="77777777" w:rsidR="00C7272E" w:rsidRPr="00173029" w:rsidRDefault="00C7272E">
      <w:pPr>
        <w:pStyle w:val="Normal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1E07F3" w14:textId="593E30A5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Ky ligj përcakton rregullat dhe garancitë</w:t>
      </w:r>
      <w:r w:rsidR="00E30C4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, veprimet e subjekteve që përfitojnë nga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procesi</w:t>
      </w:r>
      <w:r w:rsidR="00E30C4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deklarimit vullnetar të pasurive si dhe kompetencat e organeve </w:t>
      </w:r>
      <w:r w:rsidR="00E30C4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të </w:t>
      </w:r>
      <w:r w:rsidR="00E864F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administratë</w:t>
      </w:r>
      <w:r w:rsidR="00E30C4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s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publike</w:t>
      </w:r>
      <w:r w:rsidR="008306A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dhe </w:t>
      </w:r>
      <w:r w:rsidR="00E864F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organet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jo publike</w:t>
      </w:r>
      <w:r w:rsidR="0044733E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E30C4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që marrin pjesë në këtë </w:t>
      </w:r>
      <w:r w:rsidR="00E864F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proce</w:t>
      </w:r>
      <w:r w:rsidR="00E30C4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s,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si dhe veprimtaritë e lidhura me këtë proces. </w:t>
      </w:r>
    </w:p>
    <w:p w14:paraId="6E23F541" w14:textId="7777777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484A1BE" w14:textId="77777777" w:rsidR="00E30C40" w:rsidRPr="00173029" w:rsidRDefault="00E30C40" w:rsidP="00270C86">
      <w:pPr>
        <w:pStyle w:val="Normal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F3DDBDA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2</w:t>
      </w:r>
    </w:p>
    <w:p w14:paraId="23280E58" w14:textId="77777777" w:rsidR="00C7272E" w:rsidRPr="00173029" w:rsidRDefault="00030AD0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Qëllimi </w:t>
      </w:r>
    </w:p>
    <w:p w14:paraId="52BAF8C5" w14:textId="77777777" w:rsidR="00C7272E" w:rsidRPr="00173029" w:rsidRDefault="00C7272E">
      <w:pPr>
        <w:pStyle w:val="Normal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0A14D1" w14:textId="7C3E0BF5" w:rsidR="003017B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Qëllimi i këtij ligji është:</w:t>
      </w:r>
    </w:p>
    <w:p w14:paraId="735DC125" w14:textId="77777777" w:rsidR="00173029" w:rsidRPr="00173029" w:rsidRDefault="00173029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40EF4073" w14:textId="374F5095" w:rsidR="00C7272E" w:rsidRPr="00173029" w:rsidRDefault="00BC0B13" w:rsidP="00443EFE">
      <w:pPr>
        <w:pStyle w:val="Normal1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garantimi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i procedurave transparente për të mundësuar ligjësimin e pasuri</w:t>
      </w:r>
      <w:r w:rsidR="00E23EC7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ve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të padeklaruara dhe/ose të paregjistruara tërësisht apo pjesërisht,</w:t>
      </w:r>
      <w:r w:rsidR="00C850A3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rivler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C850A3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simin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</w:t>
      </w:r>
      <w:r w:rsidR="00C850A3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e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pasqyrave financiare si dhe mbledhjen e </w:t>
      </w:r>
      <w:r w:rsidR="00D206B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tatimeve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përkatëse;</w:t>
      </w:r>
    </w:p>
    <w:p w14:paraId="35884163" w14:textId="5BBC26E3" w:rsidR="00C7272E" w:rsidRPr="00173029" w:rsidRDefault="00030AD0" w:rsidP="00443EFE">
      <w:pPr>
        <w:pStyle w:val="Normal1"/>
        <w:numPr>
          <w:ilvl w:val="0"/>
          <w:numId w:val="3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lastRenderedPageBreak/>
        <w:t>parashikimi i mekanizmave nxitës për subjektet e këtij ligj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i, me q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llim sigurimin e tyre se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nga procesi i ligjësimit të </w:t>
      </w:r>
      <w:r w:rsidR="008C143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8C143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ardhurave me t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8C143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cilat jan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8C143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krijuar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pasur</w:t>
      </w:r>
      <w:r w:rsidR="008C143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i</w:t>
      </w:r>
      <w:r w:rsidR="005B41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,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autoritetet publike do aplikojnë një tatim 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favorizues </w:t>
      </w:r>
      <w:r w:rsidR="00744C7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</w:t>
      </w:r>
      <w:r w:rsidR="006559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744C7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posaç</w:t>
      </w:r>
      <w:r w:rsidR="006559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744C7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m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me normë të ve</w:t>
      </w:r>
      <w:r w:rsidR="00833D6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ç</w:t>
      </w:r>
      <w:r w:rsidR="00DA5979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antë</w:t>
      </w:r>
      <w:r w:rsidR="008228E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garant</w:t>
      </w:r>
      <w:r w:rsidR="008228E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imin 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ruajtjen </w:t>
      </w:r>
      <w:r w:rsidR="008228E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9328B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sekretit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dhe të informacioneve që lidhen me këto pasuri, </w:t>
      </w:r>
      <w:r w:rsidR="008228E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si dhe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mosfillimin </w:t>
      </w:r>
      <w:r w:rsidR="00DA5979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e procedurave administrative dhe procedimeve penale </w:t>
      </w:r>
      <w:r w:rsidR="008228E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ndaj këtyre subjekteve</w:t>
      </w:r>
      <w:r w:rsidR="00DA5979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0A3EC8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nga ana </w:t>
      </w:r>
      <w:r w:rsidR="008228E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e institucioneve përkatëse</w:t>
      </w:r>
      <w:r w:rsidR="008B0113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,</w:t>
      </w:r>
      <w:r w:rsidR="008228E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lidhje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me këto pasuri. </w:t>
      </w:r>
    </w:p>
    <w:p w14:paraId="474142FD" w14:textId="6EC78E1E" w:rsidR="00C7272E" w:rsidRDefault="00C7272E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B074"/>
        </w:rPr>
      </w:pPr>
    </w:p>
    <w:p w14:paraId="78A40177" w14:textId="77777777" w:rsidR="00173029" w:rsidRPr="00173029" w:rsidRDefault="00173029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9B074"/>
        </w:rPr>
      </w:pPr>
    </w:p>
    <w:p w14:paraId="2DB3BD73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Neni 3</w:t>
      </w:r>
    </w:p>
    <w:p w14:paraId="6377C0F0" w14:textId="77777777" w:rsidR="00C7272E" w:rsidRPr="00173029" w:rsidRDefault="00030AD0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Përkufizime</w:t>
      </w:r>
    </w:p>
    <w:p w14:paraId="0431A111" w14:textId="77777777" w:rsidR="00C7272E" w:rsidRPr="00173029" w:rsidRDefault="00C7272E">
      <w:pPr>
        <w:pStyle w:val="Normal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EE71AF9" w14:textId="5C2CC208" w:rsidR="006C739F" w:rsidRPr="00173029" w:rsidRDefault="00030AD0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Në këtë ligj termat e mëposhtëm kanë këto kuptime:</w:t>
      </w:r>
    </w:p>
    <w:p w14:paraId="43029434" w14:textId="77777777" w:rsidR="00C7272E" w:rsidRPr="00173029" w:rsidRDefault="00C7272E">
      <w:pPr>
        <w:pStyle w:val="Normal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54FC6F3F" w14:textId="0D2B930E" w:rsidR="00C7272E" w:rsidRPr="00173029" w:rsidRDefault="00030AD0" w:rsidP="00443EFE">
      <w:pPr>
        <w:pStyle w:val="Normal1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“</w:t>
      </w:r>
      <w:r w:rsidR="00833D6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eklarim </w:t>
      </w:r>
      <w:r w:rsidR="00833D6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v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ullnetar” 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sht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deklarimi 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i b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r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form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n dhe m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nyr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n e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rcaktuar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ligj</w:t>
      </w:r>
      <w:r w:rsidR="00833D6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, 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r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pasurit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dhe element</w:t>
      </w:r>
      <w:r w:rsidR="00E161A4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ët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</w:t>
      </w:r>
      <w:r w:rsidR="00E161A4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pasqyrave financiare, 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9328B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kryer 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vullnetarisht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në organet </w:t>
      </w:r>
      <w:r w:rsidR="009328B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kompetente </w:t>
      </w:r>
      <w:r w:rsidR="009328B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sipas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parashikimeve të këtij ligji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dhe akteve 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nligjore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nxjerra 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zbatim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tij</w:t>
      </w:r>
      <w:r w:rsidR="00833D6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;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</w:t>
      </w:r>
    </w:p>
    <w:p w14:paraId="2DC7D330" w14:textId="546A8877" w:rsidR="00C86681" w:rsidRPr="00173029" w:rsidRDefault="00030AD0" w:rsidP="00443EFE">
      <w:pPr>
        <w:pStyle w:val="Normal1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“</w:t>
      </w:r>
      <w:r w:rsidR="00833D6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asuri” janë</w:t>
      </w:r>
      <w:r w:rsidR="00833D6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asuritë e paluajtshme</w:t>
      </w:r>
      <w:r w:rsidR="0062452F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,</w:t>
      </w:r>
      <w:r w:rsidR="00571CE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466C7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brenda apo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jashtë territorit të Republikës së Shqipërisë, </w:t>
      </w:r>
      <w:r w:rsidR="00571CE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pasuritë e luajtshme të regjistrueshme në regjistrat publikë,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shuma</w:t>
      </w:r>
      <w:r w:rsidR="00571CE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në të holla, monedhë shqiptare apo</w:t>
      </w:r>
      <w:r w:rsidR="00C8668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monedhë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e huaj, </w:t>
      </w:r>
      <w:r w:rsidR="006360F8" w:rsidRPr="00127754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monedhë dixhitale,</w:t>
      </w:r>
      <w:r w:rsidR="006360F8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sende me vler</w:t>
      </w:r>
      <w:r w:rsidR="00C8668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607609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ar apo gurë të </w:t>
      </w:r>
      <w:r w:rsidR="00C8668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ç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muar, vepra arti, tituj</w:t>
      </w:r>
      <w:r w:rsidR="00571CE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o</w:t>
      </w:r>
      <w:r w:rsidR="00E161A4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instrumente të tjerë të tregjeve financiare</w:t>
      </w:r>
      <w:r w:rsidR="005B41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;</w:t>
      </w:r>
    </w:p>
    <w:p w14:paraId="31C28772" w14:textId="6466CB72" w:rsidR="00F34D1E" w:rsidRPr="00F34D1E" w:rsidRDefault="00030AD0" w:rsidP="00F34D1E">
      <w:pPr>
        <w:pStyle w:val="Normal1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“</w:t>
      </w:r>
      <w:r w:rsidR="00C8668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r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uajtje e sekretit” është ruajtja e fshehtësisë </w:t>
      </w:r>
      <w:r w:rsidR="009328B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dhe konfidencialitet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për çdo veprim që mund të ketë pasur rezultat apo jo, për çdo fakt, për çdo informacion të ofruar nga subjekti i deklarimit apo përfaqësuesi i </w:t>
      </w:r>
      <w:r w:rsidR="00E236B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tij i posac</w:t>
      </w:r>
      <w:r w:rsidR="000A3EC8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E236B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m me prokur</w:t>
      </w:r>
      <w:r w:rsidR="000A3EC8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, për çdo të dhënë për pasuritë e deklaruara me përjashtim të:</w:t>
      </w:r>
    </w:p>
    <w:p w14:paraId="45FC7646" w14:textId="0152374C" w:rsidR="00F34D1E" w:rsidRDefault="00F34D1E" w:rsidP="00F34D1E">
      <w:pPr>
        <w:pStyle w:val="Normal1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</w:pPr>
      <w:r w:rsidRPr="002F13FC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detyrimit për vënien në dispozicion të tyre nëpunësve shtetërorë të ngarkuar me detyra të lidhura me procesin e deklarimit;</w:t>
      </w:r>
    </w:p>
    <w:p w14:paraId="4FEB54DF" w14:textId="60E65658" w:rsidR="00F34D1E" w:rsidRPr="00F34D1E" w:rsidRDefault="00F34D1E" w:rsidP="00F34D1E">
      <w:pPr>
        <w:pStyle w:val="Normal1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</w:pPr>
      <w:r w:rsidRPr="002F13FC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detyrimit për vënien në dispozicion të tyre nëpunësve shtetërorë të punësuar në organet e administratës </w:t>
      </w:r>
      <w:r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shtetërore </w:t>
      </w:r>
      <w:r w:rsidRPr="002F13FC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dhe të autorizuar nga ky ligj për të ndjekur procesin </w:t>
      </w:r>
      <w:r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e </w:t>
      </w:r>
      <w:r w:rsidRPr="002F13FC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deklarimit vullnetar;</w:t>
      </w:r>
    </w:p>
    <w:p w14:paraId="09CA3E0F" w14:textId="6DE3C4BE" w:rsidR="00C86681" w:rsidRPr="00173029" w:rsidRDefault="006360F8" w:rsidP="00443EFE">
      <w:pPr>
        <w:pStyle w:val="Normal1"/>
        <w:numPr>
          <w:ilvl w:val="0"/>
          <w:numId w:val="3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/>
          <w:lang w:val="sq-AL"/>
        </w:rPr>
        <w:t>rasteve të tjera të përcaktuara nga legjislacioni shqiptar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val="sq-AL"/>
        </w:rPr>
        <w:t xml:space="preserve">, si dhe </w:t>
      </w:r>
      <w:r w:rsidR="00C86681" w:rsidRPr="0017302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val="sq-AL"/>
        </w:rPr>
        <w:t xml:space="preserve">detyrimeve që rrjedhin në kuadër të bashkëpunimit ndërkombëtar në fushën </w:t>
      </w:r>
      <w:r w:rsidR="00041F07" w:rsidRPr="0017302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/>
          <w:lang w:val="sq-AL"/>
        </w:rPr>
        <w:t>administrative apo penale</w:t>
      </w:r>
      <w:r w:rsidR="00041F0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. </w:t>
      </w:r>
    </w:p>
    <w:p w14:paraId="6A87FD58" w14:textId="77777777" w:rsidR="00C7272E" w:rsidRPr="00173029" w:rsidRDefault="00030AD0">
      <w:pPr>
        <w:pStyle w:val="Normal1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</w:p>
    <w:p w14:paraId="208289FC" w14:textId="316E31AF" w:rsidR="00E839F4" w:rsidRPr="00173029" w:rsidRDefault="00030AD0" w:rsidP="00443EFE">
      <w:pPr>
        <w:pStyle w:val="Normal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Neni 4 </w:t>
      </w:r>
    </w:p>
    <w:p w14:paraId="4AF43B20" w14:textId="77777777" w:rsidR="005B416B" w:rsidRPr="00173029" w:rsidRDefault="00E839F4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Zbatimi i dispozitave të tjera ligjore</w:t>
      </w:r>
    </w:p>
    <w:p w14:paraId="168D0568" w14:textId="77777777" w:rsidR="00C7272E" w:rsidRPr="00173029" w:rsidRDefault="00C7272E" w:rsidP="00F34D1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0AD4CBB0" w14:textId="0C3E1A08" w:rsidR="005B416B" w:rsidRDefault="00F34D1E" w:rsidP="00F34D1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1.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Dispozitat e legjislacionit në fushën tatimore</w:t>
      </w:r>
      <w:r w:rsidR="00C8668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,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të cilat parashikojnë kompetencat e organeve të administratës publike përgjegjëse për mbikëqyrjen e zbatimit të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lastRenderedPageBreak/>
        <w:t>legjislacionit të sektorit, duke përfshirë edhe përgjegjësinë për fillimin e procedurave administrative, gjatë kohës së zbatimit të këtij ligji, aplikohen në përputhje me këtë ligj.</w:t>
      </w:r>
      <w:r w:rsidR="00BD3F83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C8668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</w:p>
    <w:p w14:paraId="18537882" w14:textId="16BC5929" w:rsidR="00F34D1E" w:rsidRPr="00F34D1E" w:rsidRDefault="00F34D1E" w:rsidP="00F34D1E">
      <w:pPr>
        <w:pStyle w:val="Normal1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D1E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2.</w:t>
      </w:r>
      <w:r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 </w:t>
      </w:r>
      <w:r w:rsidRPr="00F34D1E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Dispozitat e këtij ligji nuk zbatohen për pasuritë që përfshihen në fushën e zbatimit të ligjit nr. 10192, datë 3.12.2009 “Për parandalimin dhe goditjen e krimit të organizuar dhe trafikimit nëpërmjet masave parandaluese kundër pasurisë”</w:t>
      </w:r>
      <w:r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, të ndryshuar</w:t>
      </w:r>
      <w:r w:rsidRPr="00F34D1E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 dhe mbi pasuritë objekt i zbatimit të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34D1E">
        <w:rPr>
          <w:rFonts w:ascii="Times New Roman" w:hAnsi="Times New Roman" w:cs="Times New Roman"/>
          <w:sz w:val="24"/>
          <w:szCs w:val="24"/>
        </w:rPr>
        <w:t>kti</w:t>
      </w:r>
      <w:r w:rsidRPr="00F34D1E">
        <w:rPr>
          <w:rFonts w:ascii="Times New Roman" w:hAnsi="Times New Roman" w:cs="Times New Roman"/>
          <w:sz w:val="24"/>
          <w:szCs w:val="24"/>
          <w:lang w:val="it-IT"/>
        </w:rPr>
        <w:t>t</w:t>
      </w:r>
      <w:r w:rsidRPr="00F34D1E">
        <w:rPr>
          <w:rFonts w:ascii="Times New Roman" w:hAnsi="Times New Roman" w:cs="Times New Roman"/>
          <w:sz w:val="24"/>
          <w:szCs w:val="24"/>
        </w:rPr>
        <w:t xml:space="preserve"> normativ nr. 1, datë 31.01.2020, “Për masat parandaluese në kuadër të forcimit të luftës kundër terrorizmit, krimit të organizuar, krimeve të rënda dhe konsolidimit të rendit e sigurisë publike”, miratuar me ligjin nr. 18/2020.</w:t>
      </w:r>
    </w:p>
    <w:p w14:paraId="59A10004" w14:textId="0502BC76" w:rsidR="00856F3C" w:rsidRPr="00F34D1E" w:rsidRDefault="00F34D1E" w:rsidP="00F34D1E">
      <w:pPr>
        <w:pStyle w:val="Normal1"/>
        <w:spacing w:line="276" w:lineRule="auto"/>
        <w:jc w:val="both"/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</w:pPr>
      <w:r w:rsidRPr="00F34D1E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3.</w:t>
      </w:r>
      <w:r w:rsidR="00646F69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 </w:t>
      </w:r>
      <w:r w:rsidRPr="00F34D1E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Dispozitat e ligjit nr 20/2020 “Për përfundimin e proceseve kalimtare të pronësisë në Republikën e Shqipërisë” dhe ligjit nr. 90/2019 “Për rivlerësimin e pasurive të paluajtshme”</w:t>
      </w:r>
      <w:r w:rsidR="00646F69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, të ndryshuar,</w:t>
      </w:r>
      <w:r w:rsidRPr="00F34D1E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 kanë përparësi ndaj dispozitave të këtij ligji. </w:t>
      </w:r>
    </w:p>
    <w:p w14:paraId="43AF5014" w14:textId="22DFDB1F" w:rsidR="007D23FA" w:rsidRPr="00F34D1E" w:rsidRDefault="00856F3C" w:rsidP="00F34D1E">
      <w:pPr>
        <w:spacing w:line="276" w:lineRule="auto"/>
        <w:jc w:val="both"/>
        <w:rPr>
          <w:color w:val="000000" w:themeColor="text1"/>
        </w:rPr>
      </w:pPr>
      <w:r w:rsidRPr="00F34D1E">
        <w:rPr>
          <w:color w:val="000000" w:themeColor="text1"/>
          <w:shd w:val="clear" w:color="auto" w:fill="FFFFFF"/>
        </w:rPr>
        <w:t xml:space="preserve">4. Dispozitat e këtij ligji nuk zbatohen </w:t>
      </w:r>
      <w:r w:rsidR="008B619B" w:rsidRPr="00F34D1E">
        <w:rPr>
          <w:color w:val="000000" w:themeColor="text1"/>
        </w:rPr>
        <w:t>nëse deklarimi vullnetar i pasurive kryhet nga subjekti, pasi ky i fundit ka marrë dijeni në rrugë zyrtare për kryerjen e inspektimeve, verifikimeve</w:t>
      </w:r>
      <w:r w:rsidR="007D23FA" w:rsidRPr="00F34D1E">
        <w:rPr>
          <w:color w:val="000000" w:themeColor="text1"/>
        </w:rPr>
        <w:t xml:space="preserve"> apo</w:t>
      </w:r>
      <w:r w:rsidR="008B619B" w:rsidRPr="00F34D1E">
        <w:rPr>
          <w:color w:val="000000" w:themeColor="text1"/>
        </w:rPr>
        <w:t xml:space="preserve"> fillimin e </w:t>
      </w:r>
      <w:r w:rsidR="007D23FA" w:rsidRPr="00F34D1E">
        <w:rPr>
          <w:color w:val="000000" w:themeColor="text1"/>
        </w:rPr>
        <w:t xml:space="preserve">një kontrolli administrativ </w:t>
      </w:r>
      <w:r w:rsidR="008B619B" w:rsidRPr="00F34D1E">
        <w:rPr>
          <w:color w:val="000000" w:themeColor="text1"/>
        </w:rPr>
        <w:t>o</w:t>
      </w:r>
      <w:r w:rsidR="007D23FA" w:rsidRPr="00F34D1E">
        <w:rPr>
          <w:color w:val="000000" w:themeColor="text1"/>
        </w:rPr>
        <w:t>se</w:t>
      </w:r>
      <w:r w:rsidR="008B619B" w:rsidRPr="00F34D1E">
        <w:rPr>
          <w:color w:val="000000" w:themeColor="text1"/>
        </w:rPr>
        <w:t xml:space="preserve"> procedimi penal për shkelje të dispozitave ligjore mbi taksat dhe tatimet, që përfshihen në fushën e zbatimit</w:t>
      </w:r>
      <w:r w:rsidR="007D23FA" w:rsidRPr="00F34D1E">
        <w:rPr>
          <w:color w:val="000000" w:themeColor="text1"/>
        </w:rPr>
        <w:t xml:space="preserve"> të</w:t>
      </w:r>
      <w:r w:rsidR="008B619B" w:rsidRPr="00F34D1E">
        <w:rPr>
          <w:color w:val="000000" w:themeColor="text1"/>
        </w:rPr>
        <w:t xml:space="preserve"> këtij ligji. </w:t>
      </w:r>
    </w:p>
    <w:p w14:paraId="4FC862AF" w14:textId="77777777" w:rsidR="009328BB" w:rsidRPr="00173029" w:rsidRDefault="009328BB" w:rsidP="00443EFE">
      <w:pPr>
        <w:rPr>
          <w:rFonts w:eastAsia="Times New Roman"/>
          <w:color w:val="000000" w:themeColor="text1"/>
          <w:shd w:val="clear" w:color="auto" w:fill="FFFFFF"/>
        </w:rPr>
      </w:pPr>
    </w:p>
    <w:p w14:paraId="557EA4A5" w14:textId="77777777" w:rsidR="009328BB" w:rsidRPr="00173029" w:rsidRDefault="009328BB">
      <w:pPr>
        <w:pStyle w:val="Normal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767F3C4F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5</w:t>
      </w:r>
    </w:p>
    <w:p w14:paraId="5D9EC6F2" w14:textId="2BC6CF12" w:rsidR="00C7272E" w:rsidRPr="00646F69" w:rsidRDefault="00030AD0" w:rsidP="00646F69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Subjektet </w:t>
      </w:r>
      <w:r w:rsidR="00646F6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dhe subjektet përfituese </w:t>
      </w:r>
    </w:p>
    <w:p w14:paraId="224A34F3" w14:textId="77777777" w:rsidR="00646F69" w:rsidRPr="00D22499" w:rsidRDefault="00646F69" w:rsidP="00646F69">
      <w:pPr>
        <w:pStyle w:val="Normal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88888AE" w14:textId="7081BA2A" w:rsidR="00646F69" w:rsidRPr="00646F69" w:rsidRDefault="00646F69" w:rsidP="00646F69">
      <w:pPr>
        <w:pStyle w:val="Normal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</w:rPr>
        <w:t>1. Subjekte të këtij ligji janë individët shtetas të Republikës së Shqipër</w:t>
      </w:r>
      <w:r w:rsidR="00496292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</w:rPr>
        <w:t>së pavarësisht nëse janë resident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tatimor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ose jo në Republikën e Shqipërisë, personat fizikë dhe juridikë, tatimpagues rezidentë në Republikën e Shqipërisë, si dhe individët rezidentë tatimorë në Republikën e Shqipërisë</w:t>
      </w: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, </w:t>
      </w: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pavarësisht shtetësisë së tyre. </w:t>
      </w:r>
    </w:p>
    <w:p w14:paraId="126C3DBF" w14:textId="7146036D" w:rsidR="00C7272E" w:rsidRPr="00646F69" w:rsidRDefault="00646F69" w:rsidP="00646F69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</w:rPr>
        <w:t>2. Subjekte përfitues të këtij ligj janë subjektet e parashikuara në pikën 1 të këtij neni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q</w:t>
      </w:r>
      <w:r w:rsidRPr="00646F69">
        <w:rPr>
          <w:rFonts w:ascii="Times New Roman" w:hAnsi="Times New Roman" w:cs="Times New Roman"/>
          <w:sz w:val="24"/>
          <w:szCs w:val="24"/>
          <w:shd w:val="clear" w:color="auto" w:fill="FFFFFF"/>
        </w:rPr>
        <w:t>ë kanë kryer procesin e deklarimit vullnetar dhe janë pajisur me vërtetimin e përfundimit të procesit të deklarimit të pasurive sipas parashikimeve të këtij ligji.</w:t>
      </w:r>
    </w:p>
    <w:p w14:paraId="7C7ADEDB" w14:textId="23679F0B" w:rsidR="00C7272E" w:rsidRDefault="00C7272E" w:rsidP="00B62A10">
      <w:pPr>
        <w:pStyle w:val="Defaul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94D3FE9" w14:textId="77777777" w:rsidR="00BD2748" w:rsidRPr="00173029" w:rsidRDefault="00BD2748" w:rsidP="00B62A10">
      <w:pPr>
        <w:pStyle w:val="Default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DCAF9D1" w14:textId="36939D2E" w:rsidR="00646F69" w:rsidRPr="00646F69" w:rsidRDefault="00030AD0" w:rsidP="00646F69">
      <w:pPr>
        <w:pStyle w:val="Default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Neni </w:t>
      </w:r>
      <w:r w:rsidR="008228ED"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</w:p>
    <w:p w14:paraId="3846B8F9" w14:textId="185D8E97" w:rsidR="00646F69" w:rsidRPr="00646F69" w:rsidRDefault="00646F69" w:rsidP="00BD2748">
      <w:pPr>
        <w:pStyle w:val="Default"/>
        <w:spacing w:after="240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646F69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Subjektet e përjashtuara</w:t>
      </w:r>
      <w:r w:rsidR="00BD2748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</w:p>
    <w:p w14:paraId="718B2A04" w14:textId="49141B2C" w:rsidR="00BD2748" w:rsidRPr="00646F69" w:rsidRDefault="00646F69" w:rsidP="00BD2748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subjekte t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rjashtuara nga zbatimi i k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tij ligji: </w:t>
      </w:r>
    </w:p>
    <w:p w14:paraId="6974B74E" w14:textId="14A06A72" w:rsidR="00646F69" w:rsidRPr="003374E3" w:rsidRDefault="00646F69" w:rsidP="003374E3">
      <w:pPr>
        <w:pStyle w:val="ListParagraph"/>
        <w:numPr>
          <w:ilvl w:val="0"/>
          <w:numId w:val="45"/>
        </w:numPr>
        <w:spacing w:line="276" w:lineRule="auto"/>
        <w:jc w:val="both"/>
        <w:rPr>
          <w:u w:color="000000"/>
          <w:shd w:val="clear" w:color="auto" w:fill="FFFFFF"/>
        </w:rPr>
      </w:pPr>
      <w:r>
        <w:rPr>
          <w:shd w:val="clear" w:color="auto" w:fill="FFFFFF"/>
        </w:rPr>
        <w:t>s</w:t>
      </w:r>
      <w:r w:rsidRPr="00646F69">
        <w:rPr>
          <w:shd w:val="clear" w:color="auto" w:fill="FFFFFF"/>
        </w:rPr>
        <w:t>ubjektet që kanë detyrimin ligjor për deklarimin e pasurisë, në zbatim të ligjit nr.</w:t>
      </w:r>
      <w:r>
        <w:rPr>
          <w:shd w:val="clear" w:color="auto" w:fill="FFFFFF"/>
        </w:rPr>
        <w:t xml:space="preserve"> </w:t>
      </w:r>
      <w:r w:rsidRPr="00646F69">
        <w:rPr>
          <w:shd w:val="clear" w:color="auto" w:fill="FFFFFF"/>
        </w:rPr>
        <w:t xml:space="preserve">9049, datë 10.4.2003 “Për deklarimin dhe kontrollin e pasurive, të detyrimeve financiare të të zgjedhurve </w:t>
      </w:r>
      <w:r>
        <w:rPr>
          <w:shd w:val="clear" w:color="auto" w:fill="FFFFFF"/>
        </w:rPr>
        <w:t>dhe të disa nëpunësve publikë”, të ndryshuar</w:t>
      </w:r>
      <w:r w:rsidRPr="00646F69">
        <w:rPr>
          <w:shd w:val="clear" w:color="auto" w:fill="FFFFFF"/>
        </w:rPr>
        <w:t>, si</w:t>
      </w:r>
      <w:r>
        <w:rPr>
          <w:shd w:val="clear" w:color="auto" w:fill="FFFFFF"/>
        </w:rPr>
        <w:t xml:space="preserve"> dhe personat në përbërje të gje</w:t>
      </w:r>
      <w:r w:rsidRPr="00646F69">
        <w:rPr>
          <w:shd w:val="clear" w:color="auto" w:fill="FFFFFF"/>
        </w:rPr>
        <w:t xml:space="preserve">ndjes familjare të tyre, në datën e hyrjes në fuqi të këtij ligji, si vijon:  </w:t>
      </w:r>
      <w:r w:rsidRPr="00646F69">
        <w:rPr>
          <w:u w:color="000000"/>
          <w:shd w:val="clear" w:color="auto" w:fill="FFFFFF"/>
        </w:rPr>
        <w:t xml:space="preserve">(a) Presidenti i Republikës, deputetët e Kuvendit, Kryeministri, Zëvendëskryeministri, ministrat e </w:t>
      </w:r>
      <w:r w:rsidRPr="00646F69">
        <w:rPr>
          <w:u w:color="000000"/>
          <w:shd w:val="clear" w:color="auto" w:fill="FFFFFF"/>
        </w:rPr>
        <w:lastRenderedPageBreak/>
        <w:t>zëvendësministrat; (b) gjyqtari i Gjykatës Kushtetuese, Kryetari i Kontrollit të Lartë të Shtetit, Prokurori i Përgjithshëm, Avokati i Popullit, anëtari i Komisionit Qendror të Zgjedhjeve, anëtari i Këshillit të Lartë Gjyqësor, anëtari i Këshillit të Lartë të Prokurorisë, Inspektori i Lartë i Drejtësisë dhe inspektorët e Inspektoratit të Lartë të Drejtësisë, Inspektori i Përgjithshëm i Inspektoratit të Lartë të Deklarimit dhe Kontrollit të Pasurive dhe Konfliktit të Interesit; (c) zyrtarët e nivelit të lartë dhe të mesëm drejtues, sipas legjislacionit në fuqi për nëpunësin civil, me përjashtim të organeve të vetëqeverisjes vendore; (ç) prefektët, kryetarët e këshillave të qarqeve dhe kryetarët e bashkive;(d) drejtorët e drejtorive dhe komandantët e Forcave të Armatosura në Ministrinë e Mbrojtjes dhe në Shërbimin Informativ Shtetëror; (dh) prokurorët, gjyqtarët, Drejtori i Përgjithshëm i Shërbimit të Përmbarimit Gjyqësor Shtetëror dhe drejtuesit e zyrave përmbarimore brenda juridiksionit të çdo rrethi gjyqësor të shkallës së parë; (e) drejtuesit e institucioneve të pavarura publike dhe anëtarët e enteve rregullatore; (ë) Drejtori dhe Zëvendësdrejtori i Policisë së Shtetit, drejtorët e përgjithshëm të Policisë së Shtetit, drejtorët e drejtorive në Drejtorinë e Përgjithshme të Policisë së Shtetit, drejtorët e drejtorive vendore të Policisë së Shtetit, drejtuesi dhe oficerët e policisë gjyqësore të Byrosë Kombëtare të Hetimit, nëpunësit civilë gjyqësorë në gjykatat e posaçme kundër korrupsionit dhe krimit të organizuar dhe personeli administrativ i Prokurorisë së Posaçme; (f) Drejtori i Përgjithshëm, zëvendësdrejtorët e përgjithshëm, drejtorët e drejtorive në qendër dhe qarqe në Drejtorinë e Përgjithshme të Tatimeve, në Drejtorinë e Përgjithshme të Doganave dhe në Drejtorinë e Përgjithshme të Parandalimit të Pastrimit të Parave;</w:t>
      </w:r>
      <w:r w:rsidRPr="00646F69">
        <w:rPr>
          <w:shd w:val="clear" w:color="auto" w:fill="FFFFFF"/>
        </w:rPr>
        <w:t xml:space="preserve"> </w:t>
      </w:r>
      <w:r w:rsidRPr="00646F69">
        <w:rPr>
          <w:u w:color="000000"/>
          <w:shd w:val="clear" w:color="auto" w:fill="FFFFFF"/>
        </w:rPr>
        <w:t xml:space="preserve">(g) drejtuesit e të gjitha niveleve të strukturave të kthimit e kompensimit të pronave, të privatizimit dhe regjistrimit të pasurisë; (gj) zyrtarët, që zgjidhen dhe emërohen nga Kuvendi, Presidenti i Republikës, Kryeministri, ministrat ose personat e barazuar me ta; (h) Guvernatori i Bankës së Shqipërisë, zëvendësguvernatori dhe anëtarët e Këshillit Mbikëqyrës të saj; (i) drejtuesit e institucioneve publike në varësi të institucioneve qendrore në nivel qarku; (j) administratorët e shoqërive anonime me pjesëmarrje të kapitalit shtetëror mbi 50 për qind dhe me më shumë se 50 punëtorë; (k) </w:t>
      </w:r>
      <w:r w:rsidRPr="00646F69">
        <w:t>Anëtari i institucionit të rivlerësimit (Komisioni i Pavarur i Kualifikimit, Kolegji i Posaçëm i Apelimit dhe komisionerët publikë), Sekretari i Përgjithshëm, këshilltarët ekonomikë dhe ligjorë, si dhe personat e lidhur me to sipas</w:t>
      </w:r>
      <w:r w:rsidRPr="00646F69">
        <w:rPr>
          <w:u w:color="000000"/>
          <w:shd w:val="clear" w:color="auto" w:fill="FFFFFF"/>
        </w:rPr>
        <w:t xml:space="preserve"> ligjit nr. 84/2016, “Për rivlerësimin kalimtar të gjyqtarëve dhe prokurorëve në Republikën e Shqipërisë.”</w:t>
      </w:r>
      <w:r>
        <w:rPr>
          <w:u w:color="000000"/>
          <w:shd w:val="clear" w:color="auto" w:fill="FFFFFF"/>
        </w:rPr>
        <w:t>.</w:t>
      </w:r>
    </w:p>
    <w:p w14:paraId="19E1CDE2" w14:textId="710E533C" w:rsidR="00646F69" w:rsidRPr="003374E3" w:rsidRDefault="00646F69" w:rsidP="003374E3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ubjektet të cilët kanë qënë mbajtës të detyrave apo funksioneve sipas përcaktimit të pikës 1 të këtij neni, 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dhe personat në përbërje të gje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ndjes familjare të tyre, në datën e hyrjes në fuqi të këtij ligji. </w:t>
      </w:r>
    </w:p>
    <w:p w14:paraId="5EBADB7D" w14:textId="50F06EA3" w:rsidR="00646F69" w:rsidRPr="003374E3" w:rsidRDefault="00646F69" w:rsidP="00646F69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s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ubj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ktet e ligjit nr. 10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192, datë 3.12.2009 “Për parandalimin dhe goditjen e krimit të organizuar dhe trafikimit nëpërmjet masave parandaluese kundër pasurisë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të ndryshuar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76A4CC46" w14:textId="00875826" w:rsidR="00646F69" w:rsidRPr="003374E3" w:rsidRDefault="003374E3" w:rsidP="003374E3">
      <w:pPr>
        <w:pStyle w:val="Default"/>
        <w:spacing w:line="276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ç) subjektet</w:t>
      </w:r>
      <w:r w:rsidR="00646F69"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sipas përcaktimit të nenit 16, të </w:t>
      </w:r>
      <w:r w:rsid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a</w:t>
      </w:r>
      <w:r w:rsidR="00646F69"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ktit </w:t>
      </w:r>
      <w:r w:rsid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n</w:t>
      </w:r>
      <w:r w:rsidR="00646F69"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ormativ nr.1, datë 31.1.2020 “Për masat parandaluese në kuadër të forcimit të luftës kundër terrorizmit, krimit të organizuar, krimeve të rënda dhe konsolidimit të rendit e sigurisë publike”</w:t>
      </w:r>
      <w:r w:rsid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miratuar me ligjin nr.</w:t>
      </w:r>
      <w:r w:rsidR="00646F69" w:rsidRPr="00F34D1E">
        <w:rPr>
          <w:rFonts w:ascii="Times New Roman" w:eastAsia="Calibri" w:hAnsi="Times New Roman" w:cs="Times New Roman"/>
          <w:sz w:val="24"/>
          <w:szCs w:val="24"/>
        </w:rPr>
        <w:t>18/2020</w:t>
      </w:r>
      <w:r w:rsidR="00646F69"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9E93080" w14:textId="54D6F680" w:rsidR="00646F69" w:rsidRPr="00646F69" w:rsidRDefault="00646F69" w:rsidP="00646F69">
      <w:pPr>
        <w:pStyle w:val="Default"/>
        <w:numPr>
          <w:ilvl w:val="0"/>
          <w:numId w:val="45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ersona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t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e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shpallur dhe personat, për të cilët ka filluar procedura e shpalljes, 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n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zbatim t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parashikimeve t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l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igjit 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nr. 157/2013, “Për masat kundër financimit të terrorizmit”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të ndryshuar</w:t>
      </w:r>
      <w:r w:rsidRPr="00646F69" w:rsidDel="000B091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646F6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1F675B7" w14:textId="634D564F" w:rsidR="00646F69" w:rsidRDefault="00646F69" w:rsidP="00646F69">
      <w:pPr>
        <w:pStyle w:val="Default"/>
        <w:ind w:left="1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F510DC" w14:textId="5C948609" w:rsidR="003374E3" w:rsidRDefault="003374E3" w:rsidP="00646F69">
      <w:pPr>
        <w:pStyle w:val="Default"/>
        <w:ind w:left="1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8E6F75D" w14:textId="77777777" w:rsidR="003374E3" w:rsidRPr="002F13FC" w:rsidRDefault="003374E3" w:rsidP="00646F69">
      <w:pPr>
        <w:pStyle w:val="Default"/>
        <w:ind w:left="18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DBC5FA" w14:textId="740E97C9" w:rsidR="00646F69" w:rsidRPr="00646F69" w:rsidRDefault="00646F69" w:rsidP="00646F69">
      <w:pPr>
        <w:pStyle w:val="Default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7</w:t>
      </w:r>
    </w:p>
    <w:p w14:paraId="5A5BDACB" w14:textId="7F38CF49" w:rsidR="00C7272E" w:rsidRPr="00173029" w:rsidRDefault="00FB1E4D" w:rsidP="00BF5DC5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Nj</w:t>
      </w:r>
      <w:r w:rsidR="00123F1E"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sia </w:t>
      </w:r>
      <w:r w:rsidR="00030AD0"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përgjegjëse </w:t>
      </w:r>
      <w:r w:rsidR="00AC509E"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në Drejtorinë e Përgjithshme të Tatimeve</w:t>
      </w:r>
    </w:p>
    <w:p w14:paraId="10E595C9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09E137A" w14:textId="152286FD" w:rsidR="00B44E08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Për zbatimin e këtij ligji, </w:t>
      </w:r>
      <w:r w:rsidR="00B44E08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Drejtorinë e Përgjithshme të Tatimeve ngrihet një </w:t>
      </w:r>
      <w:r w:rsidR="00AC509E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strukturë</w:t>
      </w:r>
      <w:r w:rsidR="00B44E08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posaçme, e quajtur </w:t>
      </w:r>
      <w:r w:rsidR="00B44E08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si</w:t>
      </w:r>
      <w:r w:rsidR="00FB1E4D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</w:t>
      </w:r>
      <w:r w:rsidR="00B44E08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peciale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r </w:t>
      </w:r>
      <w:r w:rsidR="0013524D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m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bikqyrjen e </w:t>
      </w:r>
      <w:r w:rsidR="0013524D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eklarimi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t </w:t>
      </w:r>
      <w:r w:rsidR="0013524D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ullnetar të </w:t>
      </w:r>
      <w:r w:rsidR="0013524D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asurive</w:t>
      </w:r>
      <w:r w:rsidR="00FB1E4D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(</w:t>
      </w:r>
      <w:r w:rsidR="00123F1E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sia</w:t>
      </w:r>
      <w:r w:rsidR="00123F1E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speciale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)</w:t>
      </w:r>
      <w:r w:rsidR="005555F9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,</w:t>
      </w:r>
      <w:r w:rsidR="00B44E08" w:rsidRPr="00173029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 xml:space="preserve"> në varësi të drejtpërdrejtë të </w:t>
      </w:r>
      <w:r w:rsidR="00B44E08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Drejtorit të Përgjithshëm të Tatimeve.</w:t>
      </w:r>
    </w:p>
    <w:p w14:paraId="4A8E30DF" w14:textId="0F5FE06F" w:rsidR="00B44E08" w:rsidRPr="00173029" w:rsidRDefault="00B44E08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2. Detyrat dhe përgjegjësitë e njësisë special</w:t>
      </w:r>
      <w:r w:rsidR="00343779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janë kontrolli i zbatimit të dispozitave të këtij ligji, krijimi </w:t>
      </w:r>
      <w:r w:rsidR="002521AE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evidencave dhe statistikave në lidhje me efektet e zbatimit të ligjit, mbledhja e informacioneve, përditësimi dhe përpunimi i të dhënave, sigurimi i ruajtjes së fshehtësisë dhe konfidencialitetit të info</w:t>
      </w:r>
      <w:r w:rsidR="00AC509E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rmacionit në lidhje me të dhëna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 dhe kryerja e veprimeve administrative dhe procedurale, në zbatim të këtij ligji. </w:t>
      </w:r>
    </w:p>
    <w:p w14:paraId="65A09234" w14:textId="13BA6281" w:rsidR="00B44E08" w:rsidRPr="00173029" w:rsidRDefault="00B44E08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3. Në përmbushje të detyrave të veta për zbatimin e këtij ligji, njësia speciale koordinon punën dhe bashkëpunon me bankat e nivelit të dytë dhe institucionet e tjera financiare në Republikën e Shqipërisë, autoritetet mbikëqyrëse të institucioneve financiare bankare, Agj</w:t>
      </w:r>
      <w:r w:rsidR="003017B9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encinë Shtetërore të Kadastrës,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Drejtorinë e Përgjithshme të Parandalimit të Pastrimit të Parave, institucionet ligjzbatuese në Republikën e Shqipërisë, Prokurorinë dhe Shërbimin Informativ Shtetëror, si dhe me institucione të tjera, veprimtaria e të cilave është e lidhur drejtpërdrejtë me procesin e deklarimit të pasurive.</w:t>
      </w:r>
    </w:p>
    <w:p w14:paraId="2A6D34C9" w14:textId="5A732AF9" w:rsidR="00B44E08" w:rsidRPr="00173029" w:rsidRDefault="00B44E08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Struktura, organizimi dhe funksionimi </w:t>
      </w:r>
      <w:r w:rsidR="00AC509E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njësisë speciale miratohen me urdhër të ministrit përgjegjës për financat. </w:t>
      </w:r>
    </w:p>
    <w:p w14:paraId="3F6060E1" w14:textId="16152C0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717CBD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CB592A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KREU II</w:t>
      </w:r>
    </w:p>
    <w:p w14:paraId="67289FDC" w14:textId="77777777" w:rsidR="007864C4" w:rsidRPr="00173029" w:rsidRDefault="007864C4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C89A1A7" w14:textId="77777777" w:rsidR="00C7272E" w:rsidRPr="00173029" w:rsidRDefault="00030AD0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DEKLARIMI VULLNETAR I PASURIVE DHE PASQYRAVE FINANCIARE</w:t>
      </w:r>
    </w:p>
    <w:p w14:paraId="670B3844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47A762D" w14:textId="77777777" w:rsidR="00C7272E" w:rsidRPr="00173029" w:rsidRDefault="00030AD0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SEKSIONI I</w:t>
      </w:r>
    </w:p>
    <w:p w14:paraId="59145E49" w14:textId="77777777" w:rsidR="007864C4" w:rsidRPr="00173029" w:rsidRDefault="007864C4" w:rsidP="00270C86">
      <w:pPr>
        <w:pStyle w:val="Normal1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7D71EA5C" w14:textId="77777777" w:rsidR="00C7272E" w:rsidRPr="00173029" w:rsidRDefault="00030AD0">
      <w:pPr>
        <w:pStyle w:val="Normal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TË PËRGJITHSHME</w:t>
      </w:r>
    </w:p>
    <w:p w14:paraId="1638D571" w14:textId="77777777" w:rsidR="00C7272E" w:rsidRPr="00173029" w:rsidRDefault="00C7272E">
      <w:pPr>
        <w:pStyle w:val="Normal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1D611A02" w14:textId="77777777" w:rsidR="00490608" w:rsidRPr="00173029" w:rsidRDefault="00490608">
      <w:pPr>
        <w:pStyle w:val="Normal1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312F7CEB" w14:textId="78DE6321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Neni 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8</w:t>
      </w:r>
    </w:p>
    <w:p w14:paraId="05D81413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  <w:t>Procedura e deklarimit vullnetar të pasurive dhe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  <w:t>pasqyrave financiare</w:t>
      </w:r>
    </w:p>
    <w:p w14:paraId="4D86C211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535BC4EB" w14:textId="3BCFD55E" w:rsidR="00C7272E" w:rsidRPr="00173029" w:rsidRDefault="00030AD0" w:rsidP="00443EFE">
      <w:pPr>
        <w:pStyle w:val="Normal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Subjektet e këtij ligji mund të deklarojnë vullnetarisht pasuri</w:t>
      </w:r>
      <w:r w:rsidR="0018630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5555F9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dhe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element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 xml:space="preserve">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 pasqyrave financiare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,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pavarësisht nëse pasuritë, në tërësinë apo pjesë të tyre, </w:t>
      </w:r>
      <w:r w:rsidR="0018630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jan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18630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të padeklaruara apo të pa regjistruara në autoritet</w:t>
      </w:r>
      <w:r w:rsidR="00CC0BE4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et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kompetente, a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po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ndodhen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ose jo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në territorin e Republikës së Shqipërisë.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</w:p>
    <w:p w14:paraId="5A80D442" w14:textId="48540A63" w:rsidR="00655982" w:rsidRPr="00173029" w:rsidRDefault="00030AD0" w:rsidP="00443EFE">
      <w:pPr>
        <w:pStyle w:val="Normal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Deklarimi vullnetar i pasurive apo i pa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s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qyrave financiare kryhet pranë 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</w:t>
      </w:r>
      <w:r w:rsidR="00637F9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jësisë 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</w:t>
      </w:r>
      <w:r w:rsidR="00637F9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peciale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,</w:t>
      </w:r>
      <w:r w:rsidR="005555F9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nëpërmjet paraqitjes së një vetëdeklarimi të paracaktuar (formulari i deklarimit vullnetar)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.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0D4B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Formulari i deklarimit vullnetar paraqitet vet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0D4B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m nj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0D4B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her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0D4B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nga subjektet e k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0D4B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tij ligji</w:t>
      </w:r>
      <w:r w:rsidR="00E23EC7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E23EC7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p</w:t>
      </w:r>
      <w:r w:rsidR="00496292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ë</w:t>
      </w:r>
      <w:r w:rsidR="00E23EC7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r llojin e pasuris</w:t>
      </w:r>
      <w:r w:rsidR="00496292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ë</w:t>
      </w:r>
      <w:r w:rsidR="000D4B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. 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F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ormati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i formularit t</w:t>
      </w:r>
      <w:r w:rsidR="00B11BD4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deklarimit vullnetar dhe </w:t>
      </w:r>
      <w:r w:rsidR="00BD2B1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m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BD2B1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nyra e procedimit</w:t>
      </w:r>
      <w:r w:rsidR="007A72A8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="00BD2B1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BD2B1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r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deklarimi</w:t>
      </w:r>
      <w:r w:rsidR="00BD2B16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</w:t>
      </w:r>
      <w:r w:rsidR="006D4F87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vullnetar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përcaktohe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me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udhëzim të </w:t>
      </w:r>
      <w:r w:rsidR="00637F9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inistrit përgjegjës për financat. </w:t>
      </w:r>
    </w:p>
    <w:p w14:paraId="0135EB37" w14:textId="28E8F20F" w:rsidR="00C7272E" w:rsidRPr="00173029" w:rsidRDefault="00030AD0" w:rsidP="00443EFE">
      <w:pPr>
        <w:pStyle w:val="Normal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Procesi i deklarimit vullnetar fillon me </w:t>
      </w:r>
      <w:r w:rsidR="0018630D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depozitimin 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formul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rit të deklarimit vullnetar përmendur në pikën 2 të këtij neni dhe përfundon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  <w:lang w:val="it-IT"/>
        </w:rPr>
        <w:t>me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pajisjen e subjektit me vërtetimin përkatës të lëshuar sipas parashikimeve të këtij ligji.</w:t>
      </w:r>
      <w:r w:rsidR="00637F9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</w:p>
    <w:p w14:paraId="23B6514B" w14:textId="3FF6F5CB" w:rsidR="00C7272E" w:rsidRPr="00173029" w:rsidRDefault="00192D02" w:rsidP="00443EFE">
      <w:pPr>
        <w:pStyle w:val="Normal1"/>
        <w:numPr>
          <w:ilvl w:val="0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huma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në të holla depozitohen në llogari bankare të bankave të nivelit të dytë</w:t>
      </w:r>
      <w:r w:rsidR="00637F9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,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ndërsa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për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pasurit</w:t>
      </w:r>
      <w:r w:rsidR="00637F9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e tjera,</w:t>
      </w:r>
      <w:r w:rsidR="00C04C5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C04C5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detyrueshme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C04C5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r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’</w:t>
      </w:r>
      <w:r w:rsidR="00C04C5B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u regjistruar, ndiqen procedurat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e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regjistrimi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sipas parash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i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kimeve të legjislacionit përkatës të fushë</w:t>
      </w:r>
      <w:r w:rsidR="00E23EC7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s.</w:t>
      </w:r>
      <w:r w:rsidR="00803DEF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</w:t>
      </w:r>
    </w:p>
    <w:p w14:paraId="24596541" w14:textId="46D93A13" w:rsidR="00BF4977" w:rsidRDefault="00BF4977" w:rsidP="00443EFE">
      <w:pPr>
        <w:pStyle w:val="Normal1"/>
        <w:spacing w:line="276" w:lineRule="auto"/>
        <w:ind w:left="2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1695D0E2" w14:textId="77777777" w:rsidR="00173029" w:rsidRPr="00173029" w:rsidRDefault="00173029" w:rsidP="00443EFE">
      <w:pPr>
        <w:pStyle w:val="Normal1"/>
        <w:spacing w:line="276" w:lineRule="auto"/>
        <w:ind w:left="2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148E36E2" w14:textId="4C56D8C1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Neni 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9</w:t>
      </w:r>
    </w:p>
    <w:p w14:paraId="2EDC4A24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Deklarimi vullnetar i shumave në të holla </w:t>
      </w:r>
    </w:p>
    <w:p w14:paraId="54151497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7C3CE51" w14:textId="77777777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Deklarimi i shumave në të holla kryhet si më poshtë:</w:t>
      </w:r>
    </w:p>
    <w:p w14:paraId="3DCED956" w14:textId="6E7DBFAD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subjekti ose përfaqësuesi i </w:t>
      </w:r>
      <w:r w:rsidR="00E236B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plotëson </w:t>
      </w:r>
      <w:r w:rsidR="00E236B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ormular</w:t>
      </w:r>
      <w:r w:rsidR="00E236B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 </w:t>
      </w:r>
      <w:r w:rsidR="0084049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deklarimit vullnetar</w:t>
      </w:r>
      <w:r w:rsidR="003017B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për depozitim të shumës në të holla në një numër llogarie bankare të hapur prej tyre për këtë qëllim</w:t>
      </w:r>
      <w:r w:rsidR="00192D0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43747EE6" w14:textId="38C3B24A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formulari </w:t>
      </w:r>
      <w:r w:rsidR="00192D0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 </w:t>
      </w:r>
      <w:r w:rsidR="0084049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deklarimit vullnetar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verifikohet për mënyrën e plotësimit të tij dhe subjekti pajiset me kopje të aplikimit;</w:t>
      </w:r>
    </w:p>
    <w:p w14:paraId="5E88EC1D" w14:textId="28BA27A4" w:rsidR="00BF5DC5" w:rsidRPr="00173029" w:rsidRDefault="00030AD0" w:rsidP="00443EFE">
      <w:pPr>
        <w:pStyle w:val="Normal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subjekti apo përfaqësuesi </w:t>
      </w:r>
      <w:r w:rsidR="00192D0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tij kryejnë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depozitimin e shumave në të holla në llogarinë përkatëse bankare</w:t>
      </w:r>
      <w:r w:rsidR="00192D0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BFD4E57" w14:textId="081A2ED1" w:rsidR="00173029" w:rsidRPr="00173029" w:rsidRDefault="00173029" w:rsidP="00496292">
      <w:pPr>
        <w:pStyle w:val="Normal1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491B666" w14:textId="673F728B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Neni 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10</w:t>
      </w:r>
    </w:p>
    <w:p w14:paraId="050F34C2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Deklarimi vullnetar i pasurive të tjera </w:t>
      </w:r>
    </w:p>
    <w:p w14:paraId="3367B7D1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7CA0A739" w14:textId="4388CDCA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1.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Pasuritë e tjera, të ndryshme nga shumat në të holla, deklarohen pranë 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1F450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jësisë 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1F450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peciale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</w:t>
      </w:r>
      <w:r w:rsidR="00123F1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123F1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rmjet paraqitjes s</w:t>
      </w:r>
      <w:r w:rsidR="00123F1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formularit t</w:t>
      </w:r>
      <w:r w:rsidR="00123F1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BF5DC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deklarimit vullnetar. </w:t>
      </w:r>
      <w:r w:rsidR="001F450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A3C22E1" w14:textId="3BBC7377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Nëse pasuritë e deklaruara janë pasuri </w:t>
      </w:r>
      <w:r w:rsidR="00032A7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32A7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paluajtshme apo pasurit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32A7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të luajtshme të regjistrueshme, me përfundimin e procesit të deklarimit vullnetar të pasurive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sipas par</w:t>
      </w:r>
      <w:r w:rsidR="001F450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shikimeve të kët</w:t>
      </w:r>
      <w:r w:rsidR="001F450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 ligji, subjekti përfitues ka prioritet në kryerjen e regjistrimit të pasurisë</w:t>
      </w:r>
      <w:r w:rsidR="001F450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 plotësimit të kushteve të parashikuara nga legjislacioni i fushës.</w:t>
      </w:r>
      <w:r w:rsidR="001F450D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Vërtetimi </w:t>
      </w:r>
      <w:r w:rsidR="007864C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përfundimit të procesit të deklarimit vullnetar nuk përbën regjistrim të këtyre pasurive. </w:t>
      </w:r>
    </w:p>
    <w:p w14:paraId="3012DE3E" w14:textId="7777777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EE4B575" w14:textId="77777777" w:rsidR="001F450D" w:rsidRPr="00173029" w:rsidRDefault="001F450D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712278B" w14:textId="5602E22F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Neni 1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1</w:t>
      </w:r>
    </w:p>
    <w:p w14:paraId="5E83B166" w14:textId="135B7E2F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Deklarimi vullnetar 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i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element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ve t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ve</w:t>
      </w:r>
      <w:r w:rsidR="001F450D"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ç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>ant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t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it-IT"/>
        </w:rPr>
        <w:t xml:space="preserve"> pasqyrave financiare </w:t>
      </w:r>
    </w:p>
    <w:p w14:paraId="7D396ED7" w14:textId="77777777" w:rsidR="00C7272E" w:rsidRPr="00173029" w:rsidRDefault="00C7272E" w:rsidP="00443EFE">
      <w:pPr>
        <w:pStyle w:val="Default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2B29C71" w14:textId="35618305" w:rsidR="00FE04C5" w:rsidRPr="00173029" w:rsidRDefault="00FE04C5" w:rsidP="00443EFE">
      <w:pPr>
        <w:spacing w:line="276" w:lineRule="auto"/>
        <w:jc w:val="both"/>
        <w:rPr>
          <w:rFonts w:eastAsia="Times New Roman"/>
          <w:color w:val="000000" w:themeColor="text1"/>
          <w:shd w:val="clear" w:color="auto" w:fill="FFFFFF"/>
        </w:rPr>
      </w:pPr>
      <w:r w:rsidRPr="00173029">
        <w:rPr>
          <w:color w:val="000000" w:themeColor="text1"/>
          <w:shd w:val="clear" w:color="auto" w:fill="FFFFFF"/>
          <w:lang w:val="it-IT"/>
        </w:rPr>
        <w:t>1. Subjektet e k</w:t>
      </w:r>
      <w:r w:rsidRPr="00173029">
        <w:rPr>
          <w:color w:val="000000" w:themeColor="text1"/>
          <w:shd w:val="clear" w:color="auto" w:fill="FFFFFF"/>
        </w:rPr>
        <w:t>ë</w:t>
      </w:r>
      <w:r w:rsidRPr="00173029">
        <w:rPr>
          <w:color w:val="000000" w:themeColor="text1"/>
          <w:shd w:val="clear" w:color="auto" w:fill="FFFFFF"/>
          <w:lang w:val="it-IT"/>
        </w:rPr>
        <w:t>tij ligji</w:t>
      </w:r>
      <w:r w:rsidRPr="00173029">
        <w:rPr>
          <w:color w:val="000000" w:themeColor="text1"/>
          <w:shd w:val="clear" w:color="auto" w:fill="FFFFFF"/>
        </w:rPr>
        <w:t xml:space="preserve"> mund të rideklarojnë elementë të veçantë të aktiveve, detyrimeve apo kapitaleve të veta të pasqyrave financiare të shoqërisë, sipas përcaktimeve n</w:t>
      </w:r>
      <w:r w:rsidR="00443EFE" w:rsidRPr="00173029">
        <w:rPr>
          <w:color w:val="000000" w:themeColor="text1"/>
          <w:shd w:val="clear" w:color="auto" w:fill="FFFFFF"/>
        </w:rPr>
        <w:t>ë</w:t>
      </w:r>
      <w:r w:rsidR="00233519" w:rsidRPr="00173029">
        <w:rPr>
          <w:color w:val="000000" w:themeColor="text1"/>
          <w:shd w:val="clear" w:color="auto" w:fill="FFFFFF"/>
        </w:rPr>
        <w:t xml:space="preserve"> udhëzimin e m</w:t>
      </w:r>
      <w:r w:rsidRPr="00173029">
        <w:rPr>
          <w:color w:val="000000" w:themeColor="text1"/>
          <w:shd w:val="clear" w:color="auto" w:fill="FFFFFF"/>
        </w:rPr>
        <w:t>inistrit p</w:t>
      </w:r>
      <w:r w:rsidR="00443EFE" w:rsidRPr="00173029">
        <w:rPr>
          <w:color w:val="000000" w:themeColor="text1"/>
          <w:shd w:val="clear" w:color="auto" w:fill="FFFFFF"/>
        </w:rPr>
        <w:t>ë</w:t>
      </w:r>
      <w:r w:rsidRPr="00173029">
        <w:rPr>
          <w:color w:val="000000" w:themeColor="text1"/>
          <w:shd w:val="clear" w:color="auto" w:fill="FFFFFF"/>
        </w:rPr>
        <w:t>rgjegj</w:t>
      </w:r>
      <w:r w:rsidR="00443EFE" w:rsidRPr="00173029">
        <w:rPr>
          <w:color w:val="000000" w:themeColor="text1"/>
          <w:shd w:val="clear" w:color="auto" w:fill="FFFFFF"/>
        </w:rPr>
        <w:t>ë</w:t>
      </w:r>
      <w:r w:rsidRPr="00173029">
        <w:rPr>
          <w:color w:val="000000" w:themeColor="text1"/>
          <w:shd w:val="clear" w:color="auto" w:fill="FFFFFF"/>
        </w:rPr>
        <w:t>s p</w:t>
      </w:r>
      <w:r w:rsidR="00443EFE" w:rsidRPr="00173029">
        <w:rPr>
          <w:color w:val="000000" w:themeColor="text1"/>
          <w:shd w:val="clear" w:color="auto" w:fill="FFFFFF"/>
        </w:rPr>
        <w:t>ë</w:t>
      </w:r>
      <w:r w:rsidR="003017B9" w:rsidRPr="00173029">
        <w:rPr>
          <w:color w:val="000000" w:themeColor="text1"/>
          <w:shd w:val="clear" w:color="auto" w:fill="FFFFFF"/>
        </w:rPr>
        <w:t xml:space="preserve">r financat, </w:t>
      </w:r>
      <w:r w:rsidRPr="00173029">
        <w:rPr>
          <w:color w:val="000000" w:themeColor="text1"/>
          <w:shd w:val="clear" w:color="auto" w:fill="FFFFFF"/>
        </w:rPr>
        <w:t xml:space="preserve">me synimin për të siguruar një paraqitje reale, të vërtetë dhe e drejtë të cdo elementi të aktiveve dhe detyrimeve të këtyre pasqyrave. </w:t>
      </w:r>
    </w:p>
    <w:p w14:paraId="20B73964" w14:textId="3441998A" w:rsidR="00FE04C5" w:rsidRPr="00173029" w:rsidRDefault="00FE04C5" w:rsidP="00443EF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2. </w:t>
      </w:r>
      <w:r w:rsidR="0023351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Për cdo diferencë që lind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nga gjendja reale me gjendjen aktuale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k</w:t>
      </w:r>
      <w:r w:rsidR="0023351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ontabël, diferencë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cila jep efekt neto n</w:t>
      </w:r>
      <w:r w:rsidR="00443EF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rritje n</w:t>
      </w:r>
      <w:r w:rsidR="00443EF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</w:t>
      </w:r>
      <w:r w:rsidR="00443EF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ardhura apo kapital,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subjektit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 lind detyrimi për pagesë të tatimit,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sipas vler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s dhe modaliteteve kohore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parashikuara 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nenin 12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k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tij ligji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0C9DBF14" w14:textId="02E4FFB3" w:rsidR="00FE04C5" w:rsidRPr="00173029" w:rsidRDefault="00FE04C5" w:rsidP="00443EF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3. </w:t>
      </w:r>
      <w:r w:rsidR="0023351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diferencë e kontabilizuar pë</w:t>
      </w:r>
      <w:r w:rsidR="0023351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këtë që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llim do të klasifikohet si e ardhur e patatueshme apo shpenzim i pazbritshëm për qëllime të deklaratës së tatim fitimit apo tatimit të thjeshtuar të fitimit.</w:t>
      </w:r>
    </w:p>
    <w:p w14:paraId="2E2D736C" w14:textId="63C209C2" w:rsidR="00233519" w:rsidRPr="00173029" w:rsidRDefault="00FE04C5" w:rsidP="003017B9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4. </w:t>
      </w:r>
      <w:r w:rsidR="0023351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Shumat e detyrimeve ndaj ortakëve të shoqërisë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r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ivlerë</w:t>
      </w:r>
      <w:r w:rsidR="0023351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suara sipas dispozitave të këtij neni, mund të përdoren lirisht prej tyre për që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llime të biznesit apo personale.</w:t>
      </w:r>
    </w:p>
    <w:p w14:paraId="0807B6FD" w14:textId="77777777" w:rsidR="00655982" w:rsidRPr="00173029" w:rsidRDefault="00655982" w:rsidP="00443EFE">
      <w:pPr>
        <w:pStyle w:val="Normal1"/>
        <w:spacing w:line="276" w:lineRule="auto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A5A223" w14:textId="1670C730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1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</w:p>
    <w:p w14:paraId="404A1C4A" w14:textId="36B7050E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Tatimi i posa</w:t>
      </w:r>
      <w:r w:rsidR="003E39AC"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ç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ëm </w:t>
      </w:r>
    </w:p>
    <w:p w14:paraId="762C1B38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151D3978" w14:textId="328E99DB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Në rastet e deklarimit vullnetar të shumave në të holla dhe të depozitimit të tyre në llogaritë bankare, banka mban një tatim të posa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ëm </w:t>
      </w:r>
      <w:r w:rsidR="00A1540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prej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1D326977" w14:textId="5DF58948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Pr="001730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 për qind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shumës totale të deklaruar për deklarim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dhe pagesa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 kryera në katër muajt e parë nga hyrja në fuqi e ligjit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204CEE7" w14:textId="2FA08253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Pr="001730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 për qind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shumës totale të deklaruar për deklarime 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dhe pagesa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 kryera në katër muajt e dytë nga hyrja në fuqi e ligjit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06A3CE8E" w14:textId="56EA59E3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c) </w:t>
      </w:r>
      <w:r w:rsidRPr="001730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 për qind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shumës totale të deklaruar për deklarime 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dhe pagesa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 kryera në katër muajt e tretë nga hyrja në fuqi e ligjit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537D1F6" w14:textId="3EDDDD43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Në rastet e deklarimit vullnetar të pasurive të tjera të deklaruara vullnetarisht pranë 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jësisë </w:t>
      </w:r>
      <w:r w:rsidR="003017B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special, 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tat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 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posa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ëm paguhet si vijon: </w:t>
      </w:r>
    </w:p>
    <w:p w14:paraId="597EA2EE" w14:textId="43EB82DF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a) </w:t>
      </w:r>
      <w:r w:rsidRPr="001730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5 për qind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vlerë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së deklaruar për deklarime 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dhe pagesa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 kryera në katër muajt e parë nga hyrja në fuqi e ligjit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A3D791F" w14:textId="7974AAA2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b) </w:t>
      </w:r>
      <w:r w:rsidRPr="001730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7 për qind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vlerë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së deklaruar për deklarime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dhe pagesa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kryera në katër muajt e dytë nga hyrja në fuqi e ligjit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18D8531" w14:textId="4CE7F584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c) </w:t>
      </w:r>
      <w:r w:rsidRPr="0017302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10 për qind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vlerë</w:t>
      </w:r>
      <w:r w:rsidR="004F039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së deklaruar për deklarime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dhe pagesa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kryera në katër muajt e tretë nga hyrja në fuqi e ligjit. </w:t>
      </w:r>
    </w:p>
    <w:p w14:paraId="4D3B63B2" w14:textId="1697A212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3.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1540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ankat e nivelit të dytë </w:t>
      </w:r>
      <w:r w:rsidR="00E23E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apo institucionet financiare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transferojnë të ardhurat nga pagesat e tatimit të posa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çëm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në kuadër të këtij ligji, në llogari</w:t>
      </w:r>
      <w:r w:rsidR="00A1540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ë e </w:t>
      </w:r>
      <w:r w:rsidR="00A1540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posa</w:t>
      </w:r>
      <w:r w:rsidR="00BE3DB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</w:t>
      </w:r>
      <w:r w:rsidR="00A1540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 t</w:t>
      </w:r>
      <w:r w:rsidR="006559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A1540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thesarit të 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inistrisë 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rgjegj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34A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financat.</w:t>
      </w:r>
      <w:r w:rsidR="00A1540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34768426" w14:textId="46E4C2ED" w:rsidR="00BF5DC5" w:rsidRPr="00173029" w:rsidRDefault="00BF5DC5" w:rsidP="00BF5DC5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Detyrimet tatimore të subjekteve përfitues, në lidhje me vlerën dhe llojin e pasurisë së </w:t>
      </w:r>
      <w:r w:rsidR="00123F1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deklaruar, konsiderohen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paguara rregullisht dhe autoritetet kompetente tatimore nuk mund të kërkojnë pagesën e detyrimeve të tjera shtesë ndaj atyre të paguara.</w:t>
      </w:r>
    </w:p>
    <w:p w14:paraId="4A0F417B" w14:textId="464FF4CF" w:rsidR="00E23EC7" w:rsidRPr="00173029" w:rsidRDefault="00E23EC7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175850F" w14:textId="1429A573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1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3</w:t>
      </w:r>
    </w:p>
    <w:p w14:paraId="747E7F31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  <w:t>Riatdhesim</w:t>
      </w:r>
      <w:r w:rsidR="00D41AA4"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  <w:t>i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color="FF0000"/>
          <w:shd w:val="clear" w:color="auto" w:fill="FFFFFF"/>
        </w:rPr>
        <w:t xml:space="preserve"> i pasurive </w:t>
      </w:r>
    </w:p>
    <w:p w14:paraId="33E26679" w14:textId="7777777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0ADB677E" w14:textId="2170675B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447B4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Pasuri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</w:t>
      </w:r>
      <w:r w:rsidR="00447B4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B4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rfshir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B4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shumat 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B4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B4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holla, q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B4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ndodhe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jasht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territorit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epublikës së Shqipërisë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mund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riatdhesohe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 pagimin e </w:t>
      </w:r>
      <w:r w:rsidR="002A09D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tatimit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posaçëm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sipas parashikimit të nenit 1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këtij ligji. Pasuritë e riatdhesuara në këtë mënyrë mund të</w:t>
      </w:r>
      <w:r w:rsidR="008B7D3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8B7D3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rdoren dhe administrohen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B7D3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lirisht sipas parashikimeve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8B7D3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legjislacionit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8B7D3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rkat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8B7D3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7F7DEE9C" w14:textId="59CBD50A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riatdhesimin e pasurive sipas pik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1, subjektet e k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tij ligji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personalisht apo nëpërmjet </w:t>
      </w:r>
      <w:r w:rsidR="005E5E8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5E5E8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rfaq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5E5E8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suesve t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5E5E8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tyre</w:t>
      </w:r>
      <w:r w:rsidR="003017B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plot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sojn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formularin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70C8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deklarimin vullnetar të pasurive sipas parashiki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meve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nenit 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8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këtij ligji dhe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paraqisin këtë deklarim në autoritet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përgjegjëse </w:t>
      </w:r>
      <w:r w:rsidR="000F1EB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doganore kufitare</w:t>
      </w:r>
      <w:r w:rsidR="006704B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6704B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kryerjen e procedurave doganore, sipas legjislacionit n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6704B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fuqi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. Rregullat dhe m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nyra e riatdhesimit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pasurive p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ërcaktohen me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udh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zim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ministrit 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rgjegj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s 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r financat. </w:t>
      </w:r>
    </w:p>
    <w:p w14:paraId="1D37CBF0" w14:textId="430AE47B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Deklarimet dhe veprimet e kryera 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kuad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r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riatdhesimit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pasurive nga ana e subjekteve 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rfituese sipas k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tij ligji, 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lidhje me llojin dhe vler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n e pasuris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q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deklaro</w:t>
      </w:r>
      <w:r w:rsidR="00D41AA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vullnetarisht 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formularin 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rkat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s, nuk</w:t>
      </w:r>
      <w:r w:rsidR="008D147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sh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rbejn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si indicie apo prov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p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r ndjekjen apo procedimin penal dhe/ose administrativ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k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tyre subjekteve. </w:t>
      </w:r>
    </w:p>
    <w:p w14:paraId="4D4A1E95" w14:textId="4B4AA9BE" w:rsidR="00C7272E" w:rsidRDefault="00C7272E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5EB791" w14:textId="77777777" w:rsidR="00173029" w:rsidRPr="00173029" w:rsidRDefault="00173029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2F841A44" w14:textId="00D01716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1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4</w:t>
      </w:r>
    </w:p>
    <w:p w14:paraId="79F0635D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Ndërprerja e procedurës së deklarimit vullnetar </w:t>
      </w:r>
    </w:p>
    <w:p w14:paraId="05E2F9E7" w14:textId="77777777" w:rsidR="00D41AA4" w:rsidRPr="00173029" w:rsidRDefault="00D41AA4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F99BDED" w14:textId="27AB13AA" w:rsidR="00C7272E" w:rsidRPr="00173029" w:rsidRDefault="00D41AA4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803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Procedura e deklarimit vullnetar konsiderohet e ndërprerë: </w:t>
      </w:r>
    </w:p>
    <w:p w14:paraId="781810F9" w14:textId="7E41DE38" w:rsidR="00C7272E" w:rsidRPr="00C70257" w:rsidRDefault="00D41AA4" w:rsidP="00443EFE">
      <w:pPr>
        <w:pStyle w:val="Normal1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 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deklarim të subjektit, në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kohë, pas fillimit të procedurës së deklarimit vullnetar pa pasur nevojë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që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 shpreh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C7025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shkaqet e ndërprerjes;</w:t>
      </w:r>
      <w:r w:rsidR="00803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69CBA2CD" w14:textId="2F992192" w:rsidR="00C70257" w:rsidRPr="00173029" w:rsidRDefault="00C70257" w:rsidP="00443EFE">
      <w:pPr>
        <w:pStyle w:val="Normal1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 vdekjen apo likuidimin e subjektit deklarues, sipas rastit; </w:t>
      </w:r>
    </w:p>
    <w:p w14:paraId="73BF7C9A" w14:textId="6DBD17BA" w:rsidR="00C7272E" w:rsidRPr="00173029" w:rsidRDefault="00D41AA4" w:rsidP="00443EFE">
      <w:pPr>
        <w:pStyle w:val="Normal1"/>
        <w:numPr>
          <w:ilvl w:val="0"/>
          <w:numId w:val="40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 përfundimin e afatit të zbatimit të ligjit dhe mosplotësim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kushteve të parashikuara në nenin 1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5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,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pika 1 të këtij ligji. </w:t>
      </w:r>
    </w:p>
    <w:p w14:paraId="167FFE2D" w14:textId="4321AEF6" w:rsidR="00C7272E" w:rsidRPr="00C70257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 Me ndërprerjen e procedurës së deklarimit vullnetar konsiderohet se procedura e deklarimit në kuptim të këtij ligji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nuk ka filluar dhe subjekti nuk konsiderohet subjekt përfitues në kuptim </w:t>
      </w:r>
      <w:r w:rsidR="00803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të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këtij ligji. 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2DBA6AD5" w14:textId="77777777" w:rsidR="00173029" w:rsidRPr="00173029" w:rsidRDefault="00173029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4746CE3A" w14:textId="00107E60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1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5</w:t>
      </w:r>
    </w:p>
    <w:p w14:paraId="026264A9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lastRenderedPageBreak/>
        <w:t>Përfundimi i procedurës së deklarimit vullnetar</w:t>
      </w:r>
    </w:p>
    <w:p w14:paraId="13BC55DA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3B36575A" w14:textId="1F29A3B0" w:rsidR="00C7272E" w:rsidRPr="00173029" w:rsidRDefault="00833922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1.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Procedura e deklarimit vullnetar përfundon me plotësimin 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nj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koh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sisht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 këtyre kushte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14:paraId="4E0B41A4" w14:textId="6712E8B2" w:rsidR="004479C1" w:rsidRPr="00173029" w:rsidRDefault="004479C1" w:rsidP="00443EFE">
      <w:pPr>
        <w:pStyle w:val="Normal1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 depozitimin në llogarinë përkatëse b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ankare, të shumave sipas nenit 9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këtij ligji në rast se pasuria konsiston në shuma në të holla;</w:t>
      </w:r>
    </w:p>
    <w:p w14:paraId="59CA84F8" w14:textId="7AA0DC23" w:rsidR="00C7272E" w:rsidRPr="00173029" w:rsidRDefault="004479C1" w:rsidP="00443EFE">
      <w:pPr>
        <w:pStyle w:val="Normal1"/>
        <w:numPr>
          <w:ilvl w:val="0"/>
          <w:numId w:val="42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 w:rsidDel="0083392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 pagimin e vlerës së tatimit të posa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ëm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sipas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nenit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këtij ligji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14:paraId="6C766D20" w14:textId="52CD8454" w:rsidR="00436AE7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="003E099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rfundimin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procedurës së deklarimit vullnetar</w:t>
      </w:r>
      <w:r w:rsidR="00436AE7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brenda </w:t>
      </w:r>
      <w:r w:rsidR="00436AE7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5D06C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436AE7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5D06C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nga dor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zimi i dokumentacionit sipas pik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D04C56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 </w:t>
      </w:r>
      <w:r w:rsidR="005E22F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1, 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jësia 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peciale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lëshon vërtetimin përkatës të përfundimit të procesit të deklarimit vullnetar të pasurive, formati i të cilit </w:t>
      </w:r>
      <w:r w:rsidR="002D69C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miratohet me 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udh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zim</w:t>
      </w:r>
      <w:r w:rsidR="002D69C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D69C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ministrit përgjegjës për financat. </w:t>
      </w:r>
    </w:p>
    <w:p w14:paraId="7E25F72D" w14:textId="53BB4E49" w:rsidR="00436AE7" w:rsidRPr="00173029" w:rsidRDefault="00436AE7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Personi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cilit 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shuar v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rtetimi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rfundimin e procesit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deklarimit vullnetar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konsiderohet subjekt përfitues </w:t>
      </w:r>
      <w:r w:rsidR="00871E5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871E5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pasurin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871E5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rkat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sisht </w:t>
      </w:r>
      <w:r w:rsidR="00871E5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sipas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llojit dhe vler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s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rcaktuar 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F1BB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rtetimin 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përkatës 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rfundimin e procesit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deklarimit </w:t>
      </w:r>
      <w:r w:rsidR="00871E51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vullnetar.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18865B2" w14:textId="53B72D52" w:rsidR="00EC4500" w:rsidRPr="00173029" w:rsidRDefault="00436AE7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Pasuria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cil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 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shuar </w:t>
      </w:r>
      <w:r w:rsidR="00265D9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65D9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rtetimi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65D9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65D9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rfundim t</w:t>
      </w:r>
      <w:r w:rsidR="0083392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65D9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procesit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65D9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E538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deklarimit vullnetar konsiderohet pasuri e deklaruar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E538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kuptim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E538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FE538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tij ligji.</w:t>
      </w:r>
    </w:p>
    <w:p w14:paraId="38B22A51" w14:textId="7777777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3B41D785" w14:textId="315A7F41" w:rsidR="00173029" w:rsidRPr="00173029" w:rsidRDefault="00173029" w:rsidP="003E099D">
      <w:pPr>
        <w:pStyle w:val="Normal1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A929168" w14:textId="77777777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KREU III</w:t>
      </w:r>
    </w:p>
    <w:p w14:paraId="33E0F56F" w14:textId="77777777" w:rsidR="007864C4" w:rsidRPr="00173029" w:rsidRDefault="007864C4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58347512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EFEKTET E PERFUNDIMIT TË PROCEDURËS SË DEKLARIMIT VULLNETAR TË PASURISË DHE/OSE PASQYRAVE FINANCIARE</w:t>
      </w:r>
    </w:p>
    <w:p w14:paraId="6F7C13E5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061428AA" w14:textId="77777777" w:rsidR="007864C4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SEKSIONI I</w:t>
      </w:r>
    </w:p>
    <w:p w14:paraId="4E68A799" w14:textId="77777777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1FF26802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MBI GARANCITË DHE TË DREJTAT E SUBJEKTEVE PËRFITUES</w:t>
      </w:r>
    </w:p>
    <w:p w14:paraId="318CDCE2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402A0DF" w14:textId="00F30CE9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1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</w:p>
    <w:p w14:paraId="73E24B86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Efektet e përfundimit të procedurës së deklarimit vullnetar</w:t>
      </w:r>
    </w:p>
    <w:p w14:paraId="4B783C94" w14:textId="7777777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EB8DEFE" w14:textId="77777777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 Individët, personat fizikë dhe personat juridikë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subjekte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përfitues sipas parashikimeve të këtij ligji, me pajisjen me vërtetimin e përfundimit të procesit të deklarimit vullnetar, gëzojnë këto të drejta:</w:t>
      </w:r>
    </w:p>
    <w:p w14:paraId="0A9FFFF5" w14:textId="124DC61F" w:rsidR="009E2455" w:rsidRPr="00173029" w:rsidRDefault="00030AD0" w:rsidP="00443EFE">
      <w:pPr>
        <w:pStyle w:val="Normal1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të ardhurat pas kryerjes së pagesës së detyrimeve, sipas parashikimeve në këtë ligj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konsiderohen si të ardhura, për të cilat detyrimet tatimore</w:t>
      </w:r>
      <w:r w:rsidR="000E2A6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janë paguar në përputhje me legjislacionin shqiptar;</w:t>
      </w:r>
    </w:p>
    <w:p w14:paraId="0ABF2D34" w14:textId="409F2B56" w:rsidR="009E2455" w:rsidRPr="00173029" w:rsidRDefault="00030AD0" w:rsidP="00443EFE">
      <w:pPr>
        <w:pStyle w:val="Normal1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përjasht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ohen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nga detyrimi 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dhënies së informacionit pranë ins</w:t>
      </w:r>
      <w:r w:rsidR="004479C1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itucioneve përkatëse administrat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ve në lidhje me kohën, mënyrën e krijimit, mbajtjen apo posedimin e pasurive të deklaruara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 xml:space="preserve"> 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rputhje me parashikimet e 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tij ligji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  <w:t>;</w:t>
      </w:r>
    </w:p>
    <w:p w14:paraId="22F30A11" w14:textId="0061D7C2" w:rsidR="009E2455" w:rsidRPr="00173029" w:rsidRDefault="00030AD0" w:rsidP="00443EFE">
      <w:pPr>
        <w:pStyle w:val="Normal1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 xml:space="preserve">të drejtën e ruajtjes së sekretit, sipas përkufizimit të këtij ligji, për sa i përket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ligj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simit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pasurive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deklaruara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dhe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deklarimit </w:t>
      </w:r>
      <w:r w:rsidR="000E2A6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të e</w:t>
      </w:r>
      <w:r w:rsidR="005D6D7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l</w:t>
      </w:r>
      <w:r w:rsidR="000E2A6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e</w:t>
      </w:r>
      <w:r w:rsidR="005D6D7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m</w:t>
      </w:r>
      <w:r w:rsidR="000E2A6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entëve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pasqyrave financiare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, sipas parashikimeve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 xml:space="preserve"> 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tij ligji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0D5E1CD" w14:textId="449ED32A" w:rsidR="009E2455" w:rsidRPr="00173029" w:rsidRDefault="00030AD0" w:rsidP="00443EFE">
      <w:pPr>
        <w:pStyle w:val="Normal1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garanci për subjektet, që kanë 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deklaruar shuma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holla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për mosdiskriminimin në të ardhmen, në procedurat e përllogaritjes së detyrimeve tatimore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29E2BC45" w14:textId="4970823A" w:rsidR="009E2455" w:rsidRPr="00173029" w:rsidRDefault="00030AD0" w:rsidP="00443EFE">
      <w:pPr>
        <w:pStyle w:val="Normal1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përjashtim nga </w:t>
      </w:r>
      <w:r w:rsidR="001B65DF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ndjekja e procedurave hetimore dhe administrative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në kuadër të 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shkimit administrativ</w:t>
      </w:r>
      <w:r w:rsidR="005D6D7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lidhje me pasurit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deklaruara sipas parashikimeve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tij ligji,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nëse nuk parashikohet ndryshe në këtë ligj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6C63066C" w14:textId="5B39770A" w:rsidR="009E2455" w:rsidRPr="00173029" w:rsidRDefault="00030AD0" w:rsidP="00443EFE">
      <w:pPr>
        <w:pStyle w:val="Normal1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përjashtim nga 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ndjekja penale dhe procedimi penal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kuad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ligjit penal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zbatuesh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Republik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e Shqip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ris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BA51B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vepra penale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lidhje me pasurit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deklaruara 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sipas kushteve dhe parashikimeve të këtij ligji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14:paraId="3A6FBA5F" w14:textId="1C7F1982" w:rsidR="00C70257" w:rsidRPr="002F13FC" w:rsidRDefault="009E2455" w:rsidP="00C70257">
      <w:pPr>
        <w:pStyle w:val="Normal1"/>
        <w:numPr>
          <w:ilvl w:val="0"/>
          <w:numId w:val="4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osv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nia e mas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s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sekuestros 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apo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konfiskimit</w:t>
      </w:r>
      <w:r w:rsidR="00E4151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ndaj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pasurive të deklaruara vullnetarisht</w:t>
      </w:r>
      <w:r w:rsidR="003017B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C70257">
        <w:rPr>
          <w:rFonts w:ascii="Times New Roman" w:hAnsi="Times New Roman" w:cs="Times New Roman"/>
          <w:sz w:val="24"/>
          <w:szCs w:val="24"/>
          <w:shd w:val="clear" w:color="auto" w:fill="FFFFFF"/>
        </w:rPr>
        <w:t>për shkaqe q</w:t>
      </w:r>
      <w:r w:rsidR="00496292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C70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burojn</w:t>
      </w:r>
      <w:r w:rsidR="00496292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C702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nga zbatimi i k</w:t>
      </w:r>
      <w:r w:rsidR="00496292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r w:rsidR="00C70257">
        <w:rPr>
          <w:rFonts w:ascii="Times New Roman" w:hAnsi="Times New Roman" w:cs="Times New Roman"/>
          <w:sz w:val="24"/>
          <w:szCs w:val="24"/>
          <w:shd w:val="clear" w:color="auto" w:fill="FFFFFF"/>
        </w:rPr>
        <w:t>tij ligji</w:t>
      </w:r>
      <w:r w:rsidR="00C70257" w:rsidRPr="002F13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48F3AE36" w14:textId="471E65FB" w:rsidR="00BA4F0C" w:rsidRPr="00173029" w:rsidRDefault="009E2455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Çdo paqartësi në zbatimin e këtij ligji interpretohet në favor të subjekteve përfitues.</w:t>
      </w:r>
    </w:p>
    <w:p w14:paraId="0D103347" w14:textId="5F2B1FEF" w:rsidR="00BA4F0C" w:rsidRPr="00173029" w:rsidRDefault="009E2455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Tatimet e</w:t>
      </w:r>
      <w:r w:rsidR="000557C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paguara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për efekt të deklarimit të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pasurive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nuk konsiderohen shpenzim i zbritshëm për efekte fiskale. </w:t>
      </w:r>
    </w:p>
    <w:p w14:paraId="2C1D42C9" w14:textId="52925780" w:rsidR="00C7272E" w:rsidRDefault="009E2455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4.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Në rastet e deklarimit të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elem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e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nt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it-IT"/>
        </w:rPr>
        <w:t>ve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pasqyrave financiare të drejtat e subjekteve përfituese, për aq sa</w:t>
      </w:r>
      <w:r w:rsidR="00BA51B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janë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të zbatueshme</w:t>
      </w:r>
      <w:r w:rsidR="00BA51B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shtrihen edhe te profesionist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 e sektorit që kanë certifikuar veprimet e ri</w:t>
      </w:r>
      <w:r w:rsidR="000557C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deklaruara sipas k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557C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tij ligji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521D9AC1" w14:textId="2068B034" w:rsidR="00B16CF2" w:rsidRPr="00B16CF2" w:rsidRDefault="00B16CF2" w:rsidP="00B16CF2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  <w:u w:color="FF000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5. </w:t>
      </w:r>
      <w:r w:rsidRPr="002F13FC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Parashikimet e këtij neni nuk zbatohen ndaj subjekteve të parashikuara nga neni 6 i këtij ligji. </w:t>
      </w:r>
    </w:p>
    <w:p w14:paraId="53339AF2" w14:textId="111D4DAB" w:rsidR="00B16CF2" w:rsidRPr="00173029" w:rsidRDefault="00B16CF2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FF0000"/>
          <w:shd w:val="clear" w:color="auto" w:fill="FFFFFF"/>
        </w:rPr>
      </w:pPr>
    </w:p>
    <w:p w14:paraId="49B021E9" w14:textId="4FCE3F77" w:rsidR="00C7272E" w:rsidRPr="00173029" w:rsidRDefault="00030AD0" w:rsidP="00173029">
      <w:pPr>
        <w:pStyle w:val="Normal1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</w:rPr>
        <w:br/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 1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</w:p>
    <w:p w14:paraId="0511C443" w14:textId="67367F24" w:rsidR="00C7272E" w:rsidRPr="00173029" w:rsidRDefault="00030AD0" w:rsidP="00443EFE">
      <w:pPr>
        <w:pStyle w:val="Default"/>
        <w:spacing w:after="24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Falja e gjobave/kamatvonesave/penaliteteve p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r veprimet me pasuritë e deklaruara</w:t>
      </w:r>
    </w:p>
    <w:p w14:paraId="15A2DEF0" w14:textId="306D4D3B" w:rsidR="00BA4F0C" w:rsidRDefault="00B16CF2" w:rsidP="00B16CF2">
      <w:pPr>
        <w:pStyle w:val="Defaul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1.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BA51B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gjith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subjekte</w:t>
      </w:r>
      <w:r w:rsidR="000557CA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rfituese sipas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A55C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rcakti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eve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tij ligji, u</w:t>
      </w:r>
      <w:r w:rsidR="00436AE7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alen të gjitha gjobat/kamat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vonesat/penalitetet t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parashikuara n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legjislacionin n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nl-NL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fuqi p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regjistrimi</w:t>
      </w:r>
      <w:r w:rsidR="009E2455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 e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pasuri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konsiderohet e deklaruar 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kuptim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450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tij ligji 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 brenda afatit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zbatimit t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tij ligji kryejn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rregjistrimin e pasuris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EC3444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rputhje me parashikimet e legjislacionit n</w:t>
      </w:r>
      <w:r w:rsidR="00687153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BA4F0C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fuqi.</w:t>
      </w:r>
    </w:p>
    <w:p w14:paraId="6C389F2E" w14:textId="57EAF223" w:rsidR="00B16CF2" w:rsidRPr="00173029" w:rsidRDefault="00B16CF2" w:rsidP="00B16CF2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2.</w:t>
      </w:r>
      <w:r w:rsidRPr="00B16CF2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 xml:space="preserve"> </w:t>
      </w:r>
      <w:r w:rsidRPr="002F13FC">
        <w:rPr>
          <w:rFonts w:ascii="Times New Roman" w:hAnsi="Times New Roman" w:cs="Times New Roman"/>
          <w:sz w:val="24"/>
          <w:szCs w:val="24"/>
          <w:u w:color="FF0000"/>
          <w:shd w:val="clear" w:color="auto" w:fill="FFFFFF"/>
        </w:rPr>
        <w:t>Parashikimet e këtij neni nuk zbatohen ndaj subjekteve të parashikuara nga neni 6 i këtij ligji.</w:t>
      </w:r>
    </w:p>
    <w:p w14:paraId="244F5131" w14:textId="7CC58434" w:rsidR="00C7272E" w:rsidRPr="00173029" w:rsidRDefault="00C7272E" w:rsidP="00443EFE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11EA7A87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B6B4995" w14:textId="77777777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SEKSIONI II</w:t>
      </w:r>
    </w:p>
    <w:p w14:paraId="0DF2D058" w14:textId="77777777" w:rsidR="007864C4" w:rsidRPr="00173029" w:rsidRDefault="007864C4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372F7325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MBI AMNISTINE PENALE </w:t>
      </w:r>
    </w:p>
    <w:p w14:paraId="32612E9B" w14:textId="77777777" w:rsidR="00C7272E" w:rsidRPr="00173029" w:rsidRDefault="00C7272E" w:rsidP="00443EFE">
      <w:pPr>
        <w:pStyle w:val="NeniTitull"/>
        <w:spacing w:line="276" w:lineRule="auto"/>
        <w:jc w:val="left"/>
        <w:rPr>
          <w:color w:val="000000" w:themeColor="text1"/>
          <w:sz w:val="24"/>
          <w:szCs w:val="24"/>
          <w:shd w:val="clear" w:color="auto" w:fill="FFFFFF"/>
        </w:rPr>
      </w:pPr>
    </w:p>
    <w:p w14:paraId="5545B3D1" w14:textId="59FAC064" w:rsidR="00C7272E" w:rsidRPr="00173029" w:rsidRDefault="00030AD0" w:rsidP="00443EFE">
      <w:pPr>
        <w:pStyle w:val="NeniTitull"/>
        <w:spacing w:line="276" w:lineRule="auto"/>
        <w:outlineLvl w:val="0"/>
        <w:rPr>
          <w:b w:val="0"/>
          <w:bCs w:val="0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eastAsia="Arial Unicode MS"/>
          <w:b w:val="0"/>
          <w:bCs w:val="0"/>
          <w:color w:val="000000" w:themeColor="text1"/>
          <w:sz w:val="24"/>
          <w:szCs w:val="24"/>
          <w:shd w:val="clear" w:color="auto" w:fill="FFFFFF"/>
        </w:rPr>
        <w:t>Neni 1</w:t>
      </w:r>
      <w:r w:rsidR="00496292">
        <w:rPr>
          <w:rFonts w:eastAsia="Arial Unicode MS"/>
          <w:b w:val="0"/>
          <w:bCs w:val="0"/>
          <w:color w:val="000000" w:themeColor="text1"/>
          <w:sz w:val="24"/>
          <w:szCs w:val="24"/>
          <w:shd w:val="clear" w:color="auto" w:fill="FFFFFF"/>
        </w:rPr>
        <w:t>8</w:t>
      </w:r>
    </w:p>
    <w:p w14:paraId="6E104C03" w14:textId="77777777" w:rsidR="00C7272E" w:rsidRPr="00173029" w:rsidRDefault="00030AD0" w:rsidP="00443EFE">
      <w:pPr>
        <w:pStyle w:val="NeniTitull"/>
        <w:spacing w:line="276" w:lineRule="auto"/>
        <w:rPr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eastAsia="Arial Unicode MS"/>
          <w:color w:val="000000" w:themeColor="text1"/>
          <w:sz w:val="24"/>
          <w:szCs w:val="24"/>
          <w:shd w:val="clear" w:color="auto" w:fill="FFFFFF"/>
        </w:rPr>
        <w:t xml:space="preserve">Kushtet për dhënien e amnistisë nga ndjekja penale </w:t>
      </w:r>
    </w:p>
    <w:p w14:paraId="63DA9B44" w14:textId="77777777" w:rsidR="0075362E" w:rsidRPr="00173029" w:rsidRDefault="0075362E" w:rsidP="00443EFE">
      <w:pPr>
        <w:pStyle w:val="BodyAA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4F481FF" w14:textId="07CA7633" w:rsidR="00B1203C" w:rsidRDefault="00B16CF2" w:rsidP="00443EFE">
      <w:pPr>
        <w:pStyle w:val="BodyAA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color="1C1E21"/>
          <w:shd w:val="clear" w:color="auto" w:fill="FFFFFF"/>
          <w:lang w:val="de-DE"/>
        </w:rPr>
        <w:t xml:space="preserve">1. </w:t>
      </w:r>
      <w:r w:rsidR="007D23FA" w:rsidRPr="00173029">
        <w:rPr>
          <w:rFonts w:ascii="Times New Roman" w:hAnsi="Times New Roman" w:cs="Times New Roman"/>
          <w:color w:val="000000" w:themeColor="text1"/>
          <w:sz w:val="24"/>
          <w:szCs w:val="24"/>
          <w:u w:color="1C1E21"/>
          <w:shd w:val="clear" w:color="auto" w:fill="FFFFFF"/>
          <w:lang w:val="de-DE"/>
        </w:rPr>
        <w:t xml:space="preserve">Subjektet përfitues, ndaj të cilëve </w:t>
      </w:r>
      <w:r w:rsidR="00B1203C" w:rsidRPr="00173029">
        <w:rPr>
          <w:rFonts w:ascii="Times New Roman" w:hAnsi="Times New Roman" w:cs="Times New Roman"/>
          <w:color w:val="000000" w:themeColor="text1"/>
          <w:sz w:val="24"/>
          <w:szCs w:val="24"/>
          <w:u w:color="1C1E21"/>
          <w:shd w:val="clear" w:color="auto" w:fill="FFFFFF"/>
          <w:lang w:val="de-DE"/>
        </w:rPr>
        <w:t>është lëshuar vërtetimi përkatës i përfundimit të procesit të deklarimit vullnetar</w:t>
      </w:r>
      <w:r w:rsidR="00B1203C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, përjashtohen nga ndjekja penale</w:t>
      </w:r>
      <w:r w:rsidR="00430164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për veprat penale </w:t>
      </w:r>
      <w:r w:rsidR="0075362E" w:rsidRPr="00173029">
        <w:rPr>
          <w:rFonts w:ascii="Times New Roman" w:hAnsi="Times New Roman" w:cs="Times New Roman"/>
          <w:color w:val="1C1E21"/>
          <w:sz w:val="24"/>
          <w:szCs w:val="24"/>
          <w:u w:color="1C1E21"/>
          <w:shd w:val="clear" w:color="auto" w:fill="FFFFFF"/>
          <w:lang w:val="de-DE"/>
        </w:rPr>
        <w:t>që lidhen drejtpërdrejt ose tërthorazi me krijimin dhe disponimin e pasurisë së deklaruar sipas kushteve të përcaktuar në këtë ligj</w:t>
      </w:r>
      <w:r w:rsidR="006648DB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>, të kryera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deri në datën e hyrjes në fuqi të këtij ligji</w:t>
      </w:r>
      <w:r w:rsidR="00430164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1203C" w:rsidRPr="001730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7B3C524" w14:textId="77777777" w:rsidR="00B16CF2" w:rsidRPr="00EE239B" w:rsidRDefault="00B16CF2" w:rsidP="00B16CF2">
      <w:pPr>
        <w:pStyle w:val="BodyA"/>
        <w:spacing w:line="276" w:lineRule="auto"/>
        <w:rPr>
          <w:rFonts w:cs="Times New Roman"/>
          <w:color w:val="000000" w:themeColor="text1"/>
          <w:shd w:val="clear" w:color="auto" w:fill="FFFFFF"/>
          <w:vertAlign w:val="subscript"/>
        </w:rPr>
      </w:pPr>
      <w:r w:rsidRPr="00EE239B">
        <w:rPr>
          <w:color w:val="000000" w:themeColor="text1"/>
          <w:u w:color="1C1E21"/>
          <w:shd w:val="clear" w:color="auto" w:fill="FFFFFF"/>
        </w:rPr>
        <w:t>2. Nuk p</w:t>
      </w:r>
      <w:r w:rsidRPr="00EE239B">
        <w:rPr>
          <w:color w:val="000000" w:themeColor="text1"/>
          <w:u w:color="1C1E21"/>
          <w:shd w:val="clear" w:color="auto" w:fill="FFFFFF"/>
          <w:lang w:val="nl-NL"/>
        </w:rPr>
        <w:t>ë</w:t>
      </w:r>
      <w:r w:rsidRPr="00EE239B">
        <w:rPr>
          <w:color w:val="000000" w:themeColor="text1"/>
          <w:u w:color="1C1E21"/>
          <w:shd w:val="clear" w:color="auto" w:fill="FFFFFF"/>
        </w:rPr>
        <w:t>rfitojn</w:t>
      </w:r>
      <w:r w:rsidRPr="00EE239B">
        <w:rPr>
          <w:color w:val="000000" w:themeColor="text1"/>
          <w:u w:color="1C1E21"/>
          <w:shd w:val="clear" w:color="auto" w:fill="FFFFFF"/>
          <w:lang w:val="nl-NL"/>
        </w:rPr>
        <w:t xml:space="preserve">ë </w:t>
      </w:r>
      <w:r w:rsidRPr="00EE239B">
        <w:rPr>
          <w:color w:val="000000" w:themeColor="text1"/>
          <w:u w:color="1C1E21"/>
          <w:shd w:val="clear" w:color="auto" w:fill="FFFFFF"/>
          <w:lang w:val="sv-SE"/>
        </w:rPr>
        <w:t xml:space="preserve">nga parashikimet e </w:t>
      </w:r>
      <w:r w:rsidRPr="00EE239B">
        <w:rPr>
          <w:color w:val="000000" w:themeColor="text1"/>
          <w:u w:color="1C1E21"/>
          <w:shd w:val="clear" w:color="auto" w:fill="FFFFFF"/>
        </w:rPr>
        <w:t>pikës 1 të k</w:t>
      </w:r>
      <w:r w:rsidRPr="00EE239B">
        <w:rPr>
          <w:color w:val="000000" w:themeColor="text1"/>
          <w:u w:color="1C1E21"/>
          <w:shd w:val="clear" w:color="auto" w:fill="FFFFFF"/>
          <w:lang w:val="nl-NL"/>
        </w:rPr>
        <w:t>ë</w:t>
      </w:r>
      <w:r w:rsidRPr="00EE239B">
        <w:rPr>
          <w:color w:val="000000" w:themeColor="text1"/>
          <w:u w:color="1C1E21"/>
          <w:shd w:val="clear" w:color="auto" w:fill="FFFFFF"/>
        </w:rPr>
        <w:t xml:space="preserve">tij </w:t>
      </w:r>
      <w:r w:rsidRPr="00EE239B">
        <w:rPr>
          <w:color w:val="000000" w:themeColor="text1"/>
          <w:u w:color="1C1E21"/>
          <w:shd w:val="clear" w:color="auto" w:fill="FFFFFF"/>
          <w:lang w:val="de-DE"/>
        </w:rPr>
        <w:t>nen</w:t>
      </w:r>
      <w:r w:rsidRPr="00EE239B">
        <w:rPr>
          <w:color w:val="000000" w:themeColor="text1"/>
          <w:u w:color="1C1E21"/>
          <w:shd w:val="clear" w:color="auto" w:fill="FFFFFF"/>
        </w:rPr>
        <w:t xml:space="preserve">i, subjektet e parashikuara në nenin 6 të këtij ligji. </w:t>
      </w:r>
    </w:p>
    <w:p w14:paraId="71E6966D" w14:textId="66F0F223" w:rsidR="00C7272E" w:rsidRPr="00173029" w:rsidRDefault="00C7272E" w:rsidP="00443EFE">
      <w:pPr>
        <w:pStyle w:val="Default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625C20B" w14:textId="77777777" w:rsidR="00C95DDC" w:rsidRPr="00173029" w:rsidRDefault="00C95DDC" w:rsidP="00443EFE">
      <w:pPr>
        <w:pStyle w:val="Normal1"/>
        <w:spacing w:line="276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6191EFF1" w14:textId="77777777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KREU IV</w:t>
      </w:r>
    </w:p>
    <w:p w14:paraId="36AEE97C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6F401A54" w14:textId="77777777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DISPOZITA TË FUNDIT DHE KALIMTARE</w:t>
      </w:r>
    </w:p>
    <w:p w14:paraId="093EF205" w14:textId="48ACCB7A" w:rsidR="00C7272E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20566E94" w14:textId="1AD14A17" w:rsidR="00B16CF2" w:rsidRPr="00496292" w:rsidRDefault="00B16CF2" w:rsidP="00B16CF2">
      <w:pPr>
        <w:pStyle w:val="Normal1"/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629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Neni </w:t>
      </w:r>
      <w:r w:rsidR="00496292" w:rsidRPr="00496292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19</w:t>
      </w:r>
    </w:p>
    <w:p w14:paraId="28946F1D" w14:textId="519A5638" w:rsidR="00B16CF2" w:rsidRDefault="00B16CF2" w:rsidP="00B16CF2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F13F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Koha e zbatimit</w:t>
      </w:r>
    </w:p>
    <w:p w14:paraId="03B1C036" w14:textId="77777777" w:rsidR="00AF443A" w:rsidRDefault="00AF443A" w:rsidP="00AF443A">
      <w:pPr>
        <w:pStyle w:val="Normal1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6177805A" w14:textId="7EA4C51C" w:rsidR="00B16CF2" w:rsidRPr="002F13FC" w:rsidRDefault="00B16CF2" w:rsidP="00AF443A">
      <w:pPr>
        <w:pStyle w:val="Normal1"/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Ky ligj </w:t>
      </w:r>
      <w:r w:rsidR="00496292">
        <w:rPr>
          <w:rFonts w:ascii="Times New Roman" w:hAnsi="Times New Roman" w:cs="Times New Roman"/>
          <w:sz w:val="24"/>
          <w:szCs w:val="24"/>
          <w:shd w:val="clear" w:color="auto" w:fill="FFFFFF"/>
        </w:rPr>
        <w:t>zbatohet</w:t>
      </w:r>
      <w:r w:rsidR="00AF4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deri në </w:t>
      </w:r>
      <w:r w:rsidR="00496292">
        <w:rPr>
          <w:rFonts w:ascii="Times New Roman" w:hAnsi="Times New Roman" w:cs="Times New Roman"/>
          <w:sz w:val="24"/>
          <w:szCs w:val="24"/>
          <w:shd w:val="clear" w:color="auto" w:fill="FFFFFF"/>
        </w:rPr>
        <w:t>12 muaj</w:t>
      </w:r>
      <w:r w:rsidR="001F547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nga fillimi i efek</w:t>
      </w:r>
      <w:r w:rsidR="00AF443A">
        <w:rPr>
          <w:rFonts w:ascii="Times New Roman" w:hAnsi="Times New Roman" w:cs="Times New Roman"/>
          <w:sz w:val="24"/>
          <w:szCs w:val="24"/>
          <w:shd w:val="clear" w:color="auto" w:fill="FFFFFF"/>
        </w:rPr>
        <w:t>teve të zbatimit të këtij ligji</w:t>
      </w:r>
      <w:r w:rsidR="00C65F05">
        <w:rPr>
          <w:rFonts w:ascii="Times New Roman" w:hAnsi="Times New Roman" w:cs="Times New Roman"/>
          <w:sz w:val="24"/>
          <w:szCs w:val="24"/>
          <w:shd w:val="clear" w:color="auto" w:fill="FFFFFF"/>
        </w:rPr>
        <w:t>, për subjektet deklaruese</w:t>
      </w:r>
      <w:r w:rsidR="00AF44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Për organet e </w:t>
      </w:r>
      <w:r w:rsidR="00C65F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administratës publike të përfshira në procesin e deklarimit vullnetar të pasurive, ky afat shtrihet deri në përfundimin e shqyrtimit të deklarimeve të kryera brenda afatit të mësipërm, sipas përcaktimeve të këtij ligji. </w:t>
      </w:r>
    </w:p>
    <w:p w14:paraId="2806D134" w14:textId="77777777" w:rsidR="00B16CF2" w:rsidRPr="00173029" w:rsidRDefault="00B16CF2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4418F36A" w14:textId="093397F2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Neni 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</w:t>
      </w:r>
    </w:p>
    <w:p w14:paraId="0C3F00CE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Aktet nënligjore</w:t>
      </w:r>
    </w:p>
    <w:p w14:paraId="680E8366" w14:textId="7777777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FD3D279" w14:textId="019E0223" w:rsidR="00C7272E" w:rsidRPr="00173029" w:rsidRDefault="002521AE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Ngarkohet ministri 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rgjegj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financat p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 nxjerrjen e a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kte</w:t>
      </w: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nënligjore</w:t>
      </w:r>
      <w:r w:rsidR="002D69C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D69C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zbatim t</w:t>
      </w:r>
      <w:r w:rsidR="0091628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D75879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D69C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</w:t>
      </w:r>
      <w:r w:rsidR="00A3375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it </w:t>
      </w:r>
      <w:r w:rsidR="00AF44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pika 4, nenit </w:t>
      </w:r>
      <w:r w:rsidR="00AF44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="00C95DDC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3375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pika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2C6C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A3375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AF44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nenit 11</w:t>
      </w:r>
      <w:r w:rsidR="00B16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pika 1, </w:t>
      </w:r>
      <w:r w:rsidR="00A3375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nenit</w:t>
      </w:r>
      <w:r w:rsidR="00C95DDC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="00AF44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</w:t>
      </w:r>
      <w:r w:rsidR="00A3375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pika 2</w:t>
      </w:r>
      <w:r w:rsidR="00C95DDC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dhe</w:t>
      </w:r>
      <w:r w:rsidR="00A3375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nenit</w:t>
      </w:r>
      <w:r w:rsidR="00C95DDC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</w:t>
      </w:r>
      <w:r w:rsidR="00AF44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="00A33758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pika 2, </w:t>
      </w:r>
      <w:r w:rsid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të këtij ligji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brenda 1 </w:t>
      </w:r>
      <w:r w:rsidR="002D69C2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muaji 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nga hyrja në fuqi e</w:t>
      </w:r>
      <w:r w:rsid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tij</w:t>
      </w:r>
      <w:r w:rsidR="00030AD0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B16C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4C3E2D72" w14:textId="77777777" w:rsidR="00C7272E" w:rsidRPr="00173029" w:rsidRDefault="00C7272E" w:rsidP="00443EFE">
      <w:pPr>
        <w:pStyle w:val="Normal1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08623ED1" w14:textId="0ADE465D" w:rsidR="00C7272E" w:rsidRPr="00173029" w:rsidRDefault="00030AD0" w:rsidP="00443EFE">
      <w:pPr>
        <w:pStyle w:val="Normal1"/>
        <w:spacing w:line="276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Neni </w:t>
      </w:r>
      <w:r w:rsidR="0049629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21</w:t>
      </w:r>
    </w:p>
    <w:p w14:paraId="3C108795" w14:textId="77777777" w:rsidR="00C7272E" w:rsidRPr="00173029" w:rsidRDefault="00030AD0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Hyrja në fuqi</w:t>
      </w:r>
    </w:p>
    <w:p w14:paraId="612E26AF" w14:textId="77777777" w:rsidR="00D75879" w:rsidRPr="00173029" w:rsidRDefault="00D75879" w:rsidP="00443EFE">
      <w:pPr>
        <w:pStyle w:val="Normal1"/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</w:p>
    <w:p w14:paraId="428EF352" w14:textId="0B7E373A" w:rsidR="00C7272E" w:rsidRPr="00173029" w:rsidRDefault="00030AD0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Ky ligj hyn në fuqi 15 ditë pas botimit në Fletoren Zyrtare</w:t>
      </w:r>
      <w:r w:rsidR="002521A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dhe efektet e zbatimit fillojnë 30 dit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2521A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nga hyrja n</w:t>
      </w:r>
      <w:r w:rsidR="0079556B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ë</w:t>
      </w:r>
      <w:r w:rsidR="003A22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fuqi e tij</w:t>
      </w:r>
      <w:r w:rsidR="002521AE" w:rsidRPr="0017302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3374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01197246" w14:textId="77777777" w:rsidR="00C7272E" w:rsidRPr="00173029" w:rsidRDefault="00C7272E" w:rsidP="00443EFE">
      <w:pPr>
        <w:pStyle w:val="Normal1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7272E" w:rsidRPr="0017302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76B151" w14:textId="77777777" w:rsidR="008B6157" w:rsidRDefault="008B6157">
      <w:r>
        <w:separator/>
      </w:r>
    </w:p>
  </w:endnote>
  <w:endnote w:type="continuationSeparator" w:id="0">
    <w:p w14:paraId="7200661D" w14:textId="77777777" w:rsidR="008B6157" w:rsidRDefault="008B6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42EDB" w14:textId="77777777" w:rsidR="008B6157" w:rsidRDefault="008B6157">
      <w:r>
        <w:separator/>
      </w:r>
    </w:p>
  </w:footnote>
  <w:footnote w:type="continuationSeparator" w:id="0">
    <w:p w14:paraId="4908D727" w14:textId="77777777" w:rsidR="008B6157" w:rsidRDefault="008B6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37BB9"/>
    <w:multiLevelType w:val="hybridMultilevel"/>
    <w:tmpl w:val="DE62E162"/>
    <w:lvl w:ilvl="0" w:tplc="F252B348">
      <w:start w:val="1"/>
      <w:numFmt w:val="lowerLetter"/>
      <w:lvlText w:val="%1)"/>
      <w:lvlJc w:val="left"/>
      <w:pPr>
        <w:ind w:left="63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02E24D2A"/>
    <w:multiLevelType w:val="hybridMultilevel"/>
    <w:tmpl w:val="793692F8"/>
    <w:lvl w:ilvl="0" w:tplc="E88AA9E6">
      <w:start w:val="1"/>
      <w:numFmt w:val="lowerLetter"/>
      <w:lvlText w:val="%1)"/>
      <w:lvlJc w:val="left"/>
      <w:pPr>
        <w:ind w:left="549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2">
    <w:nsid w:val="0A0D3BBE"/>
    <w:multiLevelType w:val="hybridMultilevel"/>
    <w:tmpl w:val="C9F449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376A48"/>
    <w:multiLevelType w:val="hybridMultilevel"/>
    <w:tmpl w:val="595816B0"/>
    <w:numStyleLink w:val="Bullets"/>
  </w:abstractNum>
  <w:abstractNum w:abstractNumId="4">
    <w:nsid w:val="0E0052CE"/>
    <w:multiLevelType w:val="hybridMultilevel"/>
    <w:tmpl w:val="91CCB2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D22CA0"/>
    <w:multiLevelType w:val="hybridMultilevel"/>
    <w:tmpl w:val="D7241778"/>
    <w:lvl w:ilvl="0" w:tplc="478A029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09401D"/>
    <w:multiLevelType w:val="hybridMultilevel"/>
    <w:tmpl w:val="BD889B5E"/>
    <w:styleLink w:val="ImportedStyle1"/>
    <w:lvl w:ilvl="0" w:tplc="07EE8F6C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718BF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E22A3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3EF99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94565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36A77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3267A7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30850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22347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4B23312"/>
    <w:multiLevelType w:val="hybridMultilevel"/>
    <w:tmpl w:val="F7CCD5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37D"/>
    <w:multiLevelType w:val="hybridMultilevel"/>
    <w:tmpl w:val="B570F7D4"/>
    <w:styleLink w:val="Numbered"/>
    <w:lvl w:ilvl="0" w:tplc="47AAACA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EA9128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F664B6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A21098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183DF8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BEAFA8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BE67F2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B0A3F76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10BC20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>
    <w:nsid w:val="1C9073D0"/>
    <w:multiLevelType w:val="hybridMultilevel"/>
    <w:tmpl w:val="A42A5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43082"/>
    <w:multiLevelType w:val="hybridMultilevel"/>
    <w:tmpl w:val="5C2ED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631BDA"/>
    <w:multiLevelType w:val="hybridMultilevel"/>
    <w:tmpl w:val="68840A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7417C6"/>
    <w:multiLevelType w:val="hybridMultilevel"/>
    <w:tmpl w:val="927E5C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733D97"/>
    <w:multiLevelType w:val="hybridMultilevel"/>
    <w:tmpl w:val="0DFE42AE"/>
    <w:lvl w:ilvl="0" w:tplc="04090017">
      <w:start w:val="1"/>
      <w:numFmt w:val="lowerLetter"/>
      <w:lvlText w:val="%1)"/>
      <w:lvlJc w:val="left"/>
      <w:pPr>
        <w:ind w:left="909" w:hanging="360"/>
      </w:p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14">
    <w:nsid w:val="287E2220"/>
    <w:multiLevelType w:val="hybridMultilevel"/>
    <w:tmpl w:val="AF6AEF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D72229"/>
    <w:multiLevelType w:val="hybridMultilevel"/>
    <w:tmpl w:val="5C8265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2168C"/>
    <w:multiLevelType w:val="hybridMultilevel"/>
    <w:tmpl w:val="2F60D62C"/>
    <w:lvl w:ilvl="0" w:tplc="CD4C62E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E74378"/>
    <w:multiLevelType w:val="hybridMultilevel"/>
    <w:tmpl w:val="3E12C156"/>
    <w:styleLink w:val="ImportedStyle5"/>
    <w:lvl w:ilvl="0" w:tplc="A13021D4">
      <w:start w:val="1"/>
      <w:numFmt w:val="decimal"/>
      <w:lvlText w:val="%1."/>
      <w:lvlJc w:val="left"/>
      <w:pPr>
        <w:ind w:left="540" w:hanging="5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96D480">
      <w:start w:val="1"/>
      <w:numFmt w:val="lowerLetter"/>
      <w:lvlText w:val="%2."/>
      <w:lvlJc w:val="left"/>
      <w:pPr>
        <w:ind w:left="473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922CB0">
      <w:start w:val="1"/>
      <w:numFmt w:val="lowerRoman"/>
      <w:lvlText w:val="%3."/>
      <w:lvlJc w:val="left"/>
      <w:pPr>
        <w:ind w:left="1206" w:hanging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E880830">
      <w:start w:val="1"/>
      <w:numFmt w:val="decimal"/>
      <w:lvlText w:val="%4."/>
      <w:lvlJc w:val="left"/>
      <w:pPr>
        <w:ind w:left="1913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808F44">
      <w:start w:val="1"/>
      <w:numFmt w:val="lowerLetter"/>
      <w:lvlText w:val="%5."/>
      <w:lvlJc w:val="left"/>
      <w:pPr>
        <w:ind w:left="2633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564B172">
      <w:start w:val="1"/>
      <w:numFmt w:val="lowerRoman"/>
      <w:lvlText w:val="%6."/>
      <w:lvlJc w:val="left"/>
      <w:pPr>
        <w:ind w:left="3366" w:hanging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E6BDD8">
      <w:start w:val="1"/>
      <w:numFmt w:val="decimal"/>
      <w:lvlText w:val="%7."/>
      <w:lvlJc w:val="left"/>
      <w:pPr>
        <w:ind w:left="4073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32DB04">
      <w:start w:val="1"/>
      <w:numFmt w:val="lowerLetter"/>
      <w:lvlText w:val="%8."/>
      <w:lvlJc w:val="left"/>
      <w:pPr>
        <w:ind w:left="4793" w:hanging="47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820C38">
      <w:start w:val="1"/>
      <w:numFmt w:val="lowerRoman"/>
      <w:lvlText w:val="%9."/>
      <w:lvlJc w:val="left"/>
      <w:pPr>
        <w:ind w:left="5526" w:hanging="4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315B2C5D"/>
    <w:multiLevelType w:val="hybridMultilevel"/>
    <w:tmpl w:val="6DB07F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B07765"/>
    <w:multiLevelType w:val="hybridMultilevel"/>
    <w:tmpl w:val="67826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1710D"/>
    <w:multiLevelType w:val="hybridMultilevel"/>
    <w:tmpl w:val="B570F7D4"/>
    <w:numStyleLink w:val="Numbered"/>
  </w:abstractNum>
  <w:abstractNum w:abstractNumId="21">
    <w:nsid w:val="34182DEB"/>
    <w:multiLevelType w:val="hybridMultilevel"/>
    <w:tmpl w:val="BB5E8C0E"/>
    <w:numStyleLink w:val="ImportedStyle20"/>
  </w:abstractNum>
  <w:abstractNum w:abstractNumId="22">
    <w:nsid w:val="35554BD4"/>
    <w:multiLevelType w:val="hybridMultilevel"/>
    <w:tmpl w:val="1B38AF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4C4989"/>
    <w:multiLevelType w:val="hybridMultilevel"/>
    <w:tmpl w:val="3A0C5F4C"/>
    <w:lvl w:ilvl="0" w:tplc="04090017">
      <w:start w:val="1"/>
      <w:numFmt w:val="lowerLetter"/>
      <w:lvlText w:val="%1)"/>
      <w:lvlJc w:val="left"/>
      <w:pPr>
        <w:ind w:left="390" w:hanging="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553B00"/>
    <w:multiLevelType w:val="hybridMultilevel"/>
    <w:tmpl w:val="595816B0"/>
    <w:styleLink w:val="Bullets"/>
    <w:lvl w:ilvl="0" w:tplc="AB766116">
      <w:start w:val="1"/>
      <w:numFmt w:val="decimal"/>
      <w:lvlText w:val="%1."/>
      <w:lvlJc w:val="left"/>
      <w:pPr>
        <w:ind w:left="189" w:hanging="189"/>
      </w:pPr>
      <w:rPr>
        <w:rFonts w:ascii="Times New Roman" w:eastAsia="Arial Unicode MS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A98BE18">
      <w:start w:val="1"/>
      <w:numFmt w:val="bullet"/>
      <w:lvlText w:val="-"/>
      <w:lvlJc w:val="left"/>
      <w:pPr>
        <w:ind w:left="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8A2D1E">
      <w:start w:val="1"/>
      <w:numFmt w:val="bullet"/>
      <w:lvlText w:val="-"/>
      <w:lvlJc w:val="left"/>
      <w:pPr>
        <w:ind w:left="1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434F840">
      <w:start w:val="1"/>
      <w:numFmt w:val="bullet"/>
      <w:lvlText w:val="-"/>
      <w:lvlJc w:val="left"/>
      <w:pPr>
        <w:ind w:left="1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508EF4">
      <w:start w:val="1"/>
      <w:numFmt w:val="bullet"/>
      <w:lvlText w:val="-"/>
      <w:lvlJc w:val="left"/>
      <w:pPr>
        <w:ind w:left="25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F4D1C2">
      <w:start w:val="1"/>
      <w:numFmt w:val="bullet"/>
      <w:lvlText w:val="-"/>
      <w:lvlJc w:val="left"/>
      <w:pPr>
        <w:ind w:left="31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A29A94">
      <w:start w:val="1"/>
      <w:numFmt w:val="bullet"/>
      <w:lvlText w:val="-"/>
      <w:lvlJc w:val="left"/>
      <w:pPr>
        <w:ind w:left="37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7004D2">
      <w:start w:val="1"/>
      <w:numFmt w:val="bullet"/>
      <w:lvlText w:val="-"/>
      <w:lvlJc w:val="left"/>
      <w:pPr>
        <w:ind w:left="43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886E6">
      <w:start w:val="1"/>
      <w:numFmt w:val="bullet"/>
      <w:lvlText w:val="-"/>
      <w:lvlJc w:val="left"/>
      <w:pPr>
        <w:ind w:left="4989" w:hanging="18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454D5849"/>
    <w:multiLevelType w:val="hybridMultilevel"/>
    <w:tmpl w:val="B0AC4934"/>
    <w:lvl w:ilvl="0" w:tplc="638444C6">
      <w:start w:val="1"/>
      <w:numFmt w:val="lowerRoman"/>
      <w:lvlText w:val="%1.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26">
    <w:nsid w:val="462541B7"/>
    <w:multiLevelType w:val="hybridMultilevel"/>
    <w:tmpl w:val="ACF4B40C"/>
    <w:lvl w:ilvl="0" w:tplc="0FCC7C2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CD11E4"/>
    <w:multiLevelType w:val="hybridMultilevel"/>
    <w:tmpl w:val="F85CA59A"/>
    <w:lvl w:ilvl="0" w:tplc="04090017">
      <w:start w:val="1"/>
      <w:numFmt w:val="lowerLetter"/>
      <w:lvlText w:val="%1)"/>
      <w:lvlJc w:val="left"/>
      <w:pPr>
        <w:ind w:left="909" w:hanging="360"/>
      </w:pPr>
    </w:lvl>
    <w:lvl w:ilvl="1" w:tplc="04090019" w:tentative="1">
      <w:start w:val="1"/>
      <w:numFmt w:val="lowerLetter"/>
      <w:lvlText w:val="%2."/>
      <w:lvlJc w:val="left"/>
      <w:pPr>
        <w:ind w:left="1629" w:hanging="360"/>
      </w:pPr>
    </w:lvl>
    <w:lvl w:ilvl="2" w:tplc="0409001B" w:tentative="1">
      <w:start w:val="1"/>
      <w:numFmt w:val="lowerRoman"/>
      <w:lvlText w:val="%3."/>
      <w:lvlJc w:val="right"/>
      <w:pPr>
        <w:ind w:left="2349" w:hanging="180"/>
      </w:pPr>
    </w:lvl>
    <w:lvl w:ilvl="3" w:tplc="0409000F" w:tentative="1">
      <w:start w:val="1"/>
      <w:numFmt w:val="decimal"/>
      <w:lvlText w:val="%4."/>
      <w:lvlJc w:val="left"/>
      <w:pPr>
        <w:ind w:left="3069" w:hanging="360"/>
      </w:pPr>
    </w:lvl>
    <w:lvl w:ilvl="4" w:tplc="04090019" w:tentative="1">
      <w:start w:val="1"/>
      <w:numFmt w:val="lowerLetter"/>
      <w:lvlText w:val="%5."/>
      <w:lvlJc w:val="left"/>
      <w:pPr>
        <w:ind w:left="3789" w:hanging="360"/>
      </w:pPr>
    </w:lvl>
    <w:lvl w:ilvl="5" w:tplc="0409001B" w:tentative="1">
      <w:start w:val="1"/>
      <w:numFmt w:val="lowerRoman"/>
      <w:lvlText w:val="%6."/>
      <w:lvlJc w:val="right"/>
      <w:pPr>
        <w:ind w:left="4509" w:hanging="180"/>
      </w:pPr>
    </w:lvl>
    <w:lvl w:ilvl="6" w:tplc="0409000F" w:tentative="1">
      <w:start w:val="1"/>
      <w:numFmt w:val="decimal"/>
      <w:lvlText w:val="%7."/>
      <w:lvlJc w:val="left"/>
      <w:pPr>
        <w:ind w:left="5229" w:hanging="360"/>
      </w:pPr>
    </w:lvl>
    <w:lvl w:ilvl="7" w:tplc="04090019" w:tentative="1">
      <w:start w:val="1"/>
      <w:numFmt w:val="lowerLetter"/>
      <w:lvlText w:val="%8."/>
      <w:lvlJc w:val="left"/>
      <w:pPr>
        <w:ind w:left="5949" w:hanging="360"/>
      </w:pPr>
    </w:lvl>
    <w:lvl w:ilvl="8" w:tplc="0409001B" w:tentative="1">
      <w:start w:val="1"/>
      <w:numFmt w:val="lowerRoman"/>
      <w:lvlText w:val="%9."/>
      <w:lvlJc w:val="right"/>
      <w:pPr>
        <w:ind w:left="6669" w:hanging="180"/>
      </w:pPr>
    </w:lvl>
  </w:abstractNum>
  <w:abstractNum w:abstractNumId="28">
    <w:nsid w:val="4E537CF3"/>
    <w:multiLevelType w:val="hybridMultilevel"/>
    <w:tmpl w:val="24A055C2"/>
    <w:lvl w:ilvl="0" w:tplc="44480AD8">
      <w:start w:val="1"/>
      <w:numFmt w:val="lowerRoman"/>
      <w:lvlText w:val="%1."/>
      <w:lvlJc w:val="left"/>
      <w:pPr>
        <w:ind w:left="1080" w:hanging="360"/>
      </w:pPr>
      <w:rPr>
        <w:rFonts w:ascii="Times New Roman" w:eastAsia="Arial Unicode MS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676310"/>
    <w:multiLevelType w:val="hybridMultilevel"/>
    <w:tmpl w:val="BD889B5E"/>
    <w:numStyleLink w:val="ImportedStyle1"/>
  </w:abstractNum>
  <w:abstractNum w:abstractNumId="30">
    <w:nsid w:val="4F7F08DA"/>
    <w:multiLevelType w:val="hybridMultilevel"/>
    <w:tmpl w:val="76AC3018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0FC1B7F"/>
    <w:multiLevelType w:val="hybridMultilevel"/>
    <w:tmpl w:val="24A07A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CD7B19"/>
    <w:multiLevelType w:val="hybridMultilevel"/>
    <w:tmpl w:val="8520A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D16FDE"/>
    <w:multiLevelType w:val="hybridMultilevel"/>
    <w:tmpl w:val="BB5E8C0E"/>
    <w:styleLink w:val="ImportedStyle20"/>
    <w:lvl w:ilvl="0" w:tplc="60587B94">
      <w:start w:val="1"/>
      <w:numFmt w:val="lowerLetter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1D05BD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DC6BD9E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A005E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B46DF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BBCC26C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F6AF3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C84E25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2E2E06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5FC96D82"/>
    <w:multiLevelType w:val="hybridMultilevel"/>
    <w:tmpl w:val="4F084920"/>
    <w:numStyleLink w:val="ImportedStyle10"/>
  </w:abstractNum>
  <w:abstractNum w:abstractNumId="35">
    <w:nsid w:val="62866B6F"/>
    <w:multiLevelType w:val="hybridMultilevel"/>
    <w:tmpl w:val="AA0047F4"/>
    <w:lvl w:ilvl="0" w:tplc="F322F8E2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63987A5F"/>
    <w:multiLevelType w:val="hybridMultilevel"/>
    <w:tmpl w:val="B49EBC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042B84"/>
    <w:multiLevelType w:val="hybridMultilevel"/>
    <w:tmpl w:val="4F2E2056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8">
    <w:nsid w:val="72C0094E"/>
    <w:multiLevelType w:val="hybridMultilevel"/>
    <w:tmpl w:val="C9344D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B563AA"/>
    <w:multiLevelType w:val="hybridMultilevel"/>
    <w:tmpl w:val="9A04028A"/>
    <w:lvl w:ilvl="0" w:tplc="C63C84E4">
      <w:start w:val="1"/>
      <w:numFmt w:val="lowerLetter"/>
      <w:lvlText w:val="%1)"/>
      <w:lvlJc w:val="left"/>
      <w:pPr>
        <w:ind w:left="5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9" w:hanging="360"/>
      </w:pPr>
    </w:lvl>
    <w:lvl w:ilvl="2" w:tplc="0409001B" w:tentative="1">
      <w:start w:val="1"/>
      <w:numFmt w:val="lowerRoman"/>
      <w:lvlText w:val="%3."/>
      <w:lvlJc w:val="right"/>
      <w:pPr>
        <w:ind w:left="1989" w:hanging="180"/>
      </w:pPr>
    </w:lvl>
    <w:lvl w:ilvl="3" w:tplc="0409000F" w:tentative="1">
      <w:start w:val="1"/>
      <w:numFmt w:val="decimal"/>
      <w:lvlText w:val="%4."/>
      <w:lvlJc w:val="left"/>
      <w:pPr>
        <w:ind w:left="2709" w:hanging="360"/>
      </w:pPr>
    </w:lvl>
    <w:lvl w:ilvl="4" w:tplc="04090019" w:tentative="1">
      <w:start w:val="1"/>
      <w:numFmt w:val="lowerLetter"/>
      <w:lvlText w:val="%5."/>
      <w:lvlJc w:val="left"/>
      <w:pPr>
        <w:ind w:left="3429" w:hanging="360"/>
      </w:pPr>
    </w:lvl>
    <w:lvl w:ilvl="5" w:tplc="0409001B" w:tentative="1">
      <w:start w:val="1"/>
      <w:numFmt w:val="lowerRoman"/>
      <w:lvlText w:val="%6."/>
      <w:lvlJc w:val="right"/>
      <w:pPr>
        <w:ind w:left="4149" w:hanging="180"/>
      </w:pPr>
    </w:lvl>
    <w:lvl w:ilvl="6" w:tplc="0409000F" w:tentative="1">
      <w:start w:val="1"/>
      <w:numFmt w:val="decimal"/>
      <w:lvlText w:val="%7."/>
      <w:lvlJc w:val="left"/>
      <w:pPr>
        <w:ind w:left="4869" w:hanging="360"/>
      </w:pPr>
    </w:lvl>
    <w:lvl w:ilvl="7" w:tplc="04090019" w:tentative="1">
      <w:start w:val="1"/>
      <w:numFmt w:val="lowerLetter"/>
      <w:lvlText w:val="%8."/>
      <w:lvlJc w:val="left"/>
      <w:pPr>
        <w:ind w:left="5589" w:hanging="360"/>
      </w:pPr>
    </w:lvl>
    <w:lvl w:ilvl="8" w:tplc="040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40">
    <w:nsid w:val="76EF1348"/>
    <w:multiLevelType w:val="hybridMultilevel"/>
    <w:tmpl w:val="E60C0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2D019F"/>
    <w:multiLevelType w:val="hybridMultilevel"/>
    <w:tmpl w:val="DD046B10"/>
    <w:lvl w:ilvl="0" w:tplc="0409001B">
      <w:start w:val="1"/>
      <w:numFmt w:val="lowerRoman"/>
      <w:lvlText w:val="%1."/>
      <w:lvlJc w:val="right"/>
      <w:pPr>
        <w:ind w:left="1269" w:hanging="360"/>
      </w:p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42">
    <w:nsid w:val="794344D8"/>
    <w:multiLevelType w:val="hybridMultilevel"/>
    <w:tmpl w:val="CABC0FD6"/>
    <w:styleLink w:val="ImportedStyle2"/>
    <w:lvl w:ilvl="0" w:tplc="FCE0A36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CCE1CC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FA4262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B5229B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40ED5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0B8A09A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6C747E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9F0E5AE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A05A66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79EA5182"/>
    <w:multiLevelType w:val="hybridMultilevel"/>
    <w:tmpl w:val="4F084920"/>
    <w:styleLink w:val="ImportedStyle10"/>
    <w:lvl w:ilvl="0" w:tplc="B01840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0DC4B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20D20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18E7F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84025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EC2ADBE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874346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588D8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2A78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7A586323"/>
    <w:multiLevelType w:val="hybridMultilevel"/>
    <w:tmpl w:val="CABC0FD6"/>
    <w:numStyleLink w:val="ImportedStyle2"/>
  </w:abstractNum>
  <w:num w:numId="1">
    <w:abstractNumId w:val="24"/>
  </w:num>
  <w:num w:numId="2">
    <w:abstractNumId w:val="3"/>
  </w:num>
  <w:num w:numId="3">
    <w:abstractNumId w:val="6"/>
  </w:num>
  <w:num w:numId="4">
    <w:abstractNumId w:val="29"/>
  </w:num>
  <w:num w:numId="5">
    <w:abstractNumId w:val="42"/>
  </w:num>
  <w:num w:numId="6">
    <w:abstractNumId w:val="44"/>
  </w:num>
  <w:num w:numId="7">
    <w:abstractNumId w:val="8"/>
  </w:num>
  <w:num w:numId="8">
    <w:abstractNumId w:val="20"/>
    <w:lvlOverride w:ilvl="0">
      <w:lvl w:ilvl="0" w:tplc="F96A191E">
        <w:start w:val="1"/>
        <w:numFmt w:val="decimal"/>
        <w:lvlText w:val="%1."/>
        <w:lvlJc w:val="left"/>
        <w:pPr>
          <w:ind w:left="232" w:hanging="2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 w:themeColor="text1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43"/>
  </w:num>
  <w:num w:numId="10">
    <w:abstractNumId w:val="34"/>
  </w:num>
  <w:num w:numId="11">
    <w:abstractNumId w:val="33"/>
  </w:num>
  <w:num w:numId="12">
    <w:abstractNumId w:val="21"/>
  </w:num>
  <w:num w:numId="13">
    <w:abstractNumId w:val="20"/>
  </w:num>
  <w:num w:numId="14">
    <w:abstractNumId w:val="20"/>
    <w:lvlOverride w:ilvl="0">
      <w:startOverride w:val="1"/>
      <w:lvl w:ilvl="0" w:tplc="F96A191E">
        <w:start w:val="1"/>
        <w:numFmt w:val="decimal"/>
        <w:lvlText w:val="%1."/>
        <w:lvlJc w:val="left"/>
        <w:pPr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C962A42">
        <w:start w:val="1"/>
        <w:numFmt w:val="decimal"/>
        <w:lvlText w:val="%2."/>
        <w:lvlJc w:val="left"/>
        <w:pPr>
          <w:ind w:left="1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FAF4E6">
        <w:start w:val="1"/>
        <w:numFmt w:val="decimal"/>
        <w:lvlText w:val="%3."/>
        <w:lvlJc w:val="left"/>
        <w:pPr>
          <w:ind w:left="1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8F8DF1A">
        <w:start w:val="1"/>
        <w:numFmt w:val="decimal"/>
        <w:lvlText w:val="%4."/>
        <w:lvlJc w:val="left"/>
        <w:pPr>
          <w:ind w:left="2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88C231C">
        <w:start w:val="1"/>
        <w:numFmt w:val="decimal"/>
        <w:lvlText w:val="%5."/>
        <w:lvlJc w:val="left"/>
        <w:pPr>
          <w:ind w:left="34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653C4830">
        <w:start w:val="1"/>
        <w:numFmt w:val="decimal"/>
        <w:lvlText w:val="%6."/>
        <w:lvlJc w:val="left"/>
        <w:pPr>
          <w:ind w:left="4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C67ADBD8">
        <w:start w:val="1"/>
        <w:numFmt w:val="decimal"/>
        <w:lvlText w:val="%7."/>
        <w:lvlJc w:val="left"/>
        <w:pPr>
          <w:ind w:left="50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5F0B830">
        <w:start w:val="1"/>
        <w:numFmt w:val="decimal"/>
        <w:lvlText w:val="%8."/>
        <w:lvlJc w:val="left"/>
        <w:pPr>
          <w:ind w:left="58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D284AAC">
        <w:start w:val="1"/>
        <w:numFmt w:val="decimal"/>
        <w:lvlText w:val="%9."/>
        <w:lvlJc w:val="left"/>
        <w:pPr>
          <w:ind w:left="66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17"/>
  </w:num>
  <w:num w:numId="16">
    <w:abstractNumId w:val="30"/>
  </w:num>
  <w:num w:numId="17">
    <w:abstractNumId w:val="37"/>
  </w:num>
  <w:num w:numId="18">
    <w:abstractNumId w:val="39"/>
  </w:num>
  <w:num w:numId="19">
    <w:abstractNumId w:val="41"/>
  </w:num>
  <w:num w:numId="20">
    <w:abstractNumId w:val="35"/>
  </w:num>
  <w:num w:numId="21">
    <w:abstractNumId w:val="27"/>
  </w:num>
  <w:num w:numId="22">
    <w:abstractNumId w:val="25"/>
  </w:num>
  <w:num w:numId="23">
    <w:abstractNumId w:val="13"/>
  </w:num>
  <w:num w:numId="24">
    <w:abstractNumId w:val="1"/>
  </w:num>
  <w:num w:numId="25">
    <w:abstractNumId w:val="0"/>
  </w:num>
  <w:num w:numId="26">
    <w:abstractNumId w:val="28"/>
  </w:num>
  <w:num w:numId="27">
    <w:abstractNumId w:val="36"/>
  </w:num>
  <w:num w:numId="28">
    <w:abstractNumId w:val="10"/>
  </w:num>
  <w:num w:numId="29">
    <w:abstractNumId w:val="11"/>
  </w:num>
  <w:num w:numId="30">
    <w:abstractNumId w:val="18"/>
  </w:num>
  <w:num w:numId="31">
    <w:abstractNumId w:val="23"/>
  </w:num>
  <w:num w:numId="32">
    <w:abstractNumId w:val="16"/>
  </w:num>
  <w:num w:numId="33">
    <w:abstractNumId w:val="4"/>
  </w:num>
  <w:num w:numId="34">
    <w:abstractNumId w:val="9"/>
  </w:num>
  <w:num w:numId="35">
    <w:abstractNumId w:val="15"/>
  </w:num>
  <w:num w:numId="36">
    <w:abstractNumId w:val="14"/>
  </w:num>
  <w:num w:numId="37">
    <w:abstractNumId w:val="7"/>
  </w:num>
  <w:num w:numId="38">
    <w:abstractNumId w:val="12"/>
  </w:num>
  <w:num w:numId="39">
    <w:abstractNumId w:val="32"/>
  </w:num>
  <w:num w:numId="40">
    <w:abstractNumId w:val="40"/>
  </w:num>
  <w:num w:numId="41">
    <w:abstractNumId w:val="20"/>
  </w:num>
  <w:num w:numId="42">
    <w:abstractNumId w:val="19"/>
  </w:num>
  <w:num w:numId="43">
    <w:abstractNumId w:val="31"/>
  </w:num>
  <w:num w:numId="44">
    <w:abstractNumId w:val="22"/>
  </w:num>
  <w:num w:numId="45">
    <w:abstractNumId w:val="38"/>
  </w:num>
  <w:num w:numId="46">
    <w:abstractNumId w:val="26"/>
  </w:num>
  <w:num w:numId="47">
    <w:abstractNumId w:val="5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2E"/>
    <w:rsid w:val="0000528D"/>
    <w:rsid w:val="000211EA"/>
    <w:rsid w:val="00030AD0"/>
    <w:rsid w:val="00032A7D"/>
    <w:rsid w:val="00041F07"/>
    <w:rsid w:val="00045A7F"/>
    <w:rsid w:val="000557CA"/>
    <w:rsid w:val="00061D29"/>
    <w:rsid w:val="000A3EC8"/>
    <w:rsid w:val="000B091B"/>
    <w:rsid w:val="000B65E3"/>
    <w:rsid w:val="000D1863"/>
    <w:rsid w:val="000D4B6B"/>
    <w:rsid w:val="000E2A6E"/>
    <w:rsid w:val="000F0030"/>
    <w:rsid w:val="000F1EBB"/>
    <w:rsid w:val="00111B4C"/>
    <w:rsid w:val="00123F1E"/>
    <w:rsid w:val="0013524D"/>
    <w:rsid w:val="00157570"/>
    <w:rsid w:val="00166F0C"/>
    <w:rsid w:val="00173029"/>
    <w:rsid w:val="0018630D"/>
    <w:rsid w:val="00192D02"/>
    <w:rsid w:val="001B65DF"/>
    <w:rsid w:val="001E032B"/>
    <w:rsid w:val="001F1BB5"/>
    <w:rsid w:val="001F450D"/>
    <w:rsid w:val="001F5472"/>
    <w:rsid w:val="00224CB4"/>
    <w:rsid w:val="00233519"/>
    <w:rsid w:val="002521AE"/>
    <w:rsid w:val="002534A1"/>
    <w:rsid w:val="002636E5"/>
    <w:rsid w:val="00265D9A"/>
    <w:rsid w:val="00270C86"/>
    <w:rsid w:val="002A09D5"/>
    <w:rsid w:val="002D69C2"/>
    <w:rsid w:val="002F13FC"/>
    <w:rsid w:val="003017B9"/>
    <w:rsid w:val="003033C6"/>
    <w:rsid w:val="003374E3"/>
    <w:rsid w:val="00343779"/>
    <w:rsid w:val="003A22B9"/>
    <w:rsid w:val="003C2258"/>
    <w:rsid w:val="003E099D"/>
    <w:rsid w:val="003E39AC"/>
    <w:rsid w:val="003F40FA"/>
    <w:rsid w:val="00400345"/>
    <w:rsid w:val="00413D7F"/>
    <w:rsid w:val="004278C5"/>
    <w:rsid w:val="00430164"/>
    <w:rsid w:val="00436AE7"/>
    <w:rsid w:val="00443EFE"/>
    <w:rsid w:val="0044733E"/>
    <w:rsid w:val="004479C1"/>
    <w:rsid w:val="00447B4F"/>
    <w:rsid w:val="00466C72"/>
    <w:rsid w:val="00490608"/>
    <w:rsid w:val="00496292"/>
    <w:rsid w:val="004C42E6"/>
    <w:rsid w:val="004E0A1D"/>
    <w:rsid w:val="004F0394"/>
    <w:rsid w:val="005458F5"/>
    <w:rsid w:val="00553549"/>
    <w:rsid w:val="005555F9"/>
    <w:rsid w:val="00562F4D"/>
    <w:rsid w:val="00563014"/>
    <w:rsid w:val="00567009"/>
    <w:rsid w:val="00571CEB"/>
    <w:rsid w:val="0058463A"/>
    <w:rsid w:val="0059225D"/>
    <w:rsid w:val="00595842"/>
    <w:rsid w:val="005A3551"/>
    <w:rsid w:val="005B2DE8"/>
    <w:rsid w:val="005B416B"/>
    <w:rsid w:val="005B6B1A"/>
    <w:rsid w:val="005D06C9"/>
    <w:rsid w:val="005D6D73"/>
    <w:rsid w:val="005E22F5"/>
    <w:rsid w:val="005E2EEB"/>
    <w:rsid w:val="005E5E85"/>
    <w:rsid w:val="00607609"/>
    <w:rsid w:val="0062452F"/>
    <w:rsid w:val="00631945"/>
    <w:rsid w:val="006360F8"/>
    <w:rsid w:val="00637F95"/>
    <w:rsid w:val="00646F69"/>
    <w:rsid w:val="00654EAA"/>
    <w:rsid w:val="00655982"/>
    <w:rsid w:val="006648DB"/>
    <w:rsid w:val="00665919"/>
    <w:rsid w:val="00666CFF"/>
    <w:rsid w:val="006704B8"/>
    <w:rsid w:val="00687153"/>
    <w:rsid w:val="006C1BE8"/>
    <w:rsid w:val="006C739F"/>
    <w:rsid w:val="006D2C05"/>
    <w:rsid w:val="006D4F87"/>
    <w:rsid w:val="006F79E5"/>
    <w:rsid w:val="00735A97"/>
    <w:rsid w:val="00744C76"/>
    <w:rsid w:val="0075362E"/>
    <w:rsid w:val="0078268C"/>
    <w:rsid w:val="007864C4"/>
    <w:rsid w:val="00794EBE"/>
    <w:rsid w:val="0079556B"/>
    <w:rsid w:val="007A72A8"/>
    <w:rsid w:val="007B58BC"/>
    <w:rsid w:val="007D23FA"/>
    <w:rsid w:val="00803DEF"/>
    <w:rsid w:val="00821301"/>
    <w:rsid w:val="008228ED"/>
    <w:rsid w:val="008306A2"/>
    <w:rsid w:val="00833922"/>
    <w:rsid w:val="00833D61"/>
    <w:rsid w:val="00840490"/>
    <w:rsid w:val="00845A18"/>
    <w:rsid w:val="00856F3C"/>
    <w:rsid w:val="00871E51"/>
    <w:rsid w:val="00877855"/>
    <w:rsid w:val="008B0113"/>
    <w:rsid w:val="008B6157"/>
    <w:rsid w:val="008B619B"/>
    <w:rsid w:val="008B7D31"/>
    <w:rsid w:val="008C1436"/>
    <w:rsid w:val="008D1479"/>
    <w:rsid w:val="00906742"/>
    <w:rsid w:val="00916282"/>
    <w:rsid w:val="00920B69"/>
    <w:rsid w:val="00922243"/>
    <w:rsid w:val="009328BB"/>
    <w:rsid w:val="00994BD8"/>
    <w:rsid w:val="009E2455"/>
    <w:rsid w:val="009F399A"/>
    <w:rsid w:val="00A15408"/>
    <w:rsid w:val="00A16009"/>
    <w:rsid w:val="00A205FB"/>
    <w:rsid w:val="00A2218A"/>
    <w:rsid w:val="00A23B44"/>
    <w:rsid w:val="00A274F2"/>
    <w:rsid w:val="00A33758"/>
    <w:rsid w:val="00A42C6C"/>
    <w:rsid w:val="00A55C82"/>
    <w:rsid w:val="00A77D31"/>
    <w:rsid w:val="00A84A90"/>
    <w:rsid w:val="00AC1D77"/>
    <w:rsid w:val="00AC509E"/>
    <w:rsid w:val="00AD0B03"/>
    <w:rsid w:val="00AF14D4"/>
    <w:rsid w:val="00AF443A"/>
    <w:rsid w:val="00B11BD4"/>
    <w:rsid w:val="00B1203C"/>
    <w:rsid w:val="00B16CF2"/>
    <w:rsid w:val="00B20464"/>
    <w:rsid w:val="00B44E08"/>
    <w:rsid w:val="00B62A10"/>
    <w:rsid w:val="00B7421B"/>
    <w:rsid w:val="00B752A9"/>
    <w:rsid w:val="00B77E67"/>
    <w:rsid w:val="00BA4F0C"/>
    <w:rsid w:val="00BA51B2"/>
    <w:rsid w:val="00BC0B13"/>
    <w:rsid w:val="00BC51BA"/>
    <w:rsid w:val="00BD2748"/>
    <w:rsid w:val="00BD2B16"/>
    <w:rsid w:val="00BD3F83"/>
    <w:rsid w:val="00BD5A20"/>
    <w:rsid w:val="00BE1197"/>
    <w:rsid w:val="00BE3DB0"/>
    <w:rsid w:val="00BF4977"/>
    <w:rsid w:val="00BF5DC5"/>
    <w:rsid w:val="00C032E6"/>
    <w:rsid w:val="00C04C5B"/>
    <w:rsid w:val="00C16036"/>
    <w:rsid w:val="00C172B7"/>
    <w:rsid w:val="00C37CE4"/>
    <w:rsid w:val="00C447E1"/>
    <w:rsid w:val="00C45C2F"/>
    <w:rsid w:val="00C51C56"/>
    <w:rsid w:val="00C65F05"/>
    <w:rsid w:val="00C70257"/>
    <w:rsid w:val="00C7272E"/>
    <w:rsid w:val="00C850A3"/>
    <w:rsid w:val="00C860F5"/>
    <w:rsid w:val="00C86681"/>
    <w:rsid w:val="00C938CB"/>
    <w:rsid w:val="00C95DDC"/>
    <w:rsid w:val="00CB0DBE"/>
    <w:rsid w:val="00CC0BE4"/>
    <w:rsid w:val="00CD4A56"/>
    <w:rsid w:val="00CE5162"/>
    <w:rsid w:val="00D0113C"/>
    <w:rsid w:val="00D04C56"/>
    <w:rsid w:val="00D206B5"/>
    <w:rsid w:val="00D41AA4"/>
    <w:rsid w:val="00D75879"/>
    <w:rsid w:val="00D833E6"/>
    <w:rsid w:val="00D928A1"/>
    <w:rsid w:val="00DA5979"/>
    <w:rsid w:val="00DB6DE2"/>
    <w:rsid w:val="00DC5F94"/>
    <w:rsid w:val="00DD76A8"/>
    <w:rsid w:val="00E01ED5"/>
    <w:rsid w:val="00E161A4"/>
    <w:rsid w:val="00E236B6"/>
    <w:rsid w:val="00E23EC7"/>
    <w:rsid w:val="00E30C40"/>
    <w:rsid w:val="00E41515"/>
    <w:rsid w:val="00E46250"/>
    <w:rsid w:val="00E65D8E"/>
    <w:rsid w:val="00E760A6"/>
    <w:rsid w:val="00E839F4"/>
    <w:rsid w:val="00E858A5"/>
    <w:rsid w:val="00E864F5"/>
    <w:rsid w:val="00EC3444"/>
    <w:rsid w:val="00EC4500"/>
    <w:rsid w:val="00EC4C9E"/>
    <w:rsid w:val="00EE6FD5"/>
    <w:rsid w:val="00F163AD"/>
    <w:rsid w:val="00F34D1E"/>
    <w:rsid w:val="00F357DC"/>
    <w:rsid w:val="00F77B11"/>
    <w:rsid w:val="00FA43EA"/>
    <w:rsid w:val="00FB1E4D"/>
    <w:rsid w:val="00FB26F5"/>
    <w:rsid w:val="00FE0024"/>
    <w:rsid w:val="00FE04C5"/>
    <w:rsid w:val="00FE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78874"/>
  <w15:docId w15:val="{1017D878-31A2-4322-9156-97C74EEB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</w:rPr>
  </w:style>
  <w:style w:type="paragraph" w:customStyle="1" w:styleId="Normal1">
    <w:name w:val="Normal1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A">
    <w:name w:val="Body A"/>
    <w:rPr>
      <w:rFonts w:cs="Arial Unicode MS"/>
      <w:color w:val="000000"/>
      <w:u w:color="000000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u w:color="000000"/>
    </w:rPr>
  </w:style>
  <w:style w:type="numbering" w:customStyle="1" w:styleId="Bullets">
    <w:name w:val="Bullets"/>
    <w:pPr>
      <w:numPr>
        <w:numId w:val="1"/>
      </w:numPr>
    </w:pPr>
  </w:style>
  <w:style w:type="numbering" w:customStyle="1" w:styleId="ImportedStyle1">
    <w:name w:val="Imported Style 1"/>
    <w:pPr>
      <w:numPr>
        <w:numId w:val="3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numbering" w:customStyle="1" w:styleId="Numbered">
    <w:name w:val="Numbered"/>
    <w:pPr>
      <w:numPr>
        <w:numId w:val="7"/>
      </w:numPr>
    </w:pPr>
  </w:style>
  <w:style w:type="numbering" w:customStyle="1" w:styleId="ImportedStyle10">
    <w:name w:val="Imported Style 1.0"/>
    <w:pPr>
      <w:numPr>
        <w:numId w:val="9"/>
      </w:numPr>
    </w:pPr>
  </w:style>
  <w:style w:type="numbering" w:customStyle="1" w:styleId="ImportedStyle20">
    <w:name w:val="Imported Style 2.0"/>
    <w:pPr>
      <w:numPr>
        <w:numId w:val="11"/>
      </w:numPr>
    </w:pPr>
  </w:style>
  <w:style w:type="paragraph" w:customStyle="1" w:styleId="Paragrafi">
    <w:name w:val="Paragrafi"/>
    <w:pPr>
      <w:widowControl w:val="0"/>
      <w:ind w:firstLine="284"/>
      <w:jc w:val="both"/>
    </w:pPr>
    <w:rPr>
      <w:rFonts w:cs="Arial Unicode MS"/>
      <w:color w:val="000000"/>
      <w:sz w:val="21"/>
      <w:szCs w:val="21"/>
      <w:u w:color="000000"/>
    </w:rPr>
  </w:style>
  <w:style w:type="paragraph" w:customStyle="1" w:styleId="NeniTitull">
    <w:name w:val="Neni_Titull"/>
    <w:next w:val="BodyA"/>
    <w:pPr>
      <w:keepNext/>
      <w:widowControl w:val="0"/>
      <w:jc w:val="center"/>
      <w:outlineLvl w:val="2"/>
    </w:pPr>
    <w:rPr>
      <w:rFonts w:eastAsia="Times New Roman"/>
      <w:b/>
      <w:bCs/>
      <w:color w:val="000000"/>
      <w:sz w:val="21"/>
      <w:szCs w:val="21"/>
      <w:u w:color="000000"/>
    </w:rPr>
  </w:style>
  <w:style w:type="paragraph" w:customStyle="1" w:styleId="BodyAA">
    <w:name w:val="Body A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18"/>
    <w:rPr>
      <w:rFonts w:ascii="Segoe UI" w:hAnsi="Segoe UI" w:cs="Segoe UI"/>
      <w:sz w:val="18"/>
      <w:szCs w:val="18"/>
    </w:rPr>
  </w:style>
  <w:style w:type="paragraph" w:customStyle="1" w:styleId="BodyBA">
    <w:name w:val="Body B A"/>
    <w:rsid w:val="00E839F4"/>
    <w:rPr>
      <w:rFonts w:eastAsia="Times New Roman"/>
      <w:color w:val="000000"/>
      <w:u w:color="000000"/>
      <w:lang w:eastAsia="en-GB"/>
    </w:rPr>
  </w:style>
  <w:style w:type="numbering" w:customStyle="1" w:styleId="ImportedStyle5">
    <w:name w:val="Imported Style 5"/>
    <w:rsid w:val="00E839F4"/>
    <w:pPr>
      <w:numPr>
        <w:numId w:val="15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C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C05"/>
    <w:rPr>
      <w:b/>
      <w:bCs/>
    </w:rPr>
  </w:style>
  <w:style w:type="paragraph" w:styleId="ListParagraph">
    <w:name w:val="List Paragraph"/>
    <w:aliases w:val="Normal 1,List Paragraph1,F5 List Paragraph,Dot pt,No Spacing1,List Paragraph Char Char Char,Indicator Text,Numbered Para 1,List Paragraph11,Colorful List - Accent 11,Bullet 1,Bullet Points,MAIN CONTENT,Párrafo de lista,Recommendation,L"/>
    <w:basedOn w:val="Normal"/>
    <w:link w:val="ListParagraphChar"/>
    <w:uiPriority w:val="34"/>
    <w:qFormat/>
    <w:rsid w:val="002636E5"/>
    <w:pPr>
      <w:ind w:left="720"/>
      <w:contextualSpacing/>
    </w:pPr>
  </w:style>
  <w:style w:type="character" w:customStyle="1" w:styleId="ListParagraphChar">
    <w:name w:val="List Paragraph Char"/>
    <w:aliases w:val="Normal 1 Char,List Paragraph1 Char,F5 List Paragraph Char,Dot pt Char,No Spacing1 Char,List Paragraph Char Char Char Char,Indicator Text Char,Numbered Para 1 Char,List Paragraph11 Char,Colorful List - Accent 11 Char,Bullet 1 Char"/>
    <w:link w:val="ListParagraph"/>
    <w:uiPriority w:val="34"/>
    <w:qFormat/>
    <w:locked/>
    <w:rsid w:val="00B62A10"/>
  </w:style>
  <w:style w:type="character" w:customStyle="1" w:styleId="apple-converted-space">
    <w:name w:val="apple-converted-space"/>
    <w:basedOn w:val="DefaultParagraphFont"/>
    <w:rsid w:val="00C032E6"/>
  </w:style>
  <w:style w:type="character" w:customStyle="1" w:styleId="grame">
    <w:name w:val="grame"/>
    <w:basedOn w:val="DefaultParagraphFont"/>
    <w:rsid w:val="00C032E6"/>
  </w:style>
  <w:style w:type="paragraph" w:styleId="DocumentMap">
    <w:name w:val="Document Map"/>
    <w:basedOn w:val="Normal"/>
    <w:link w:val="DocumentMapChar"/>
    <w:uiPriority w:val="99"/>
    <w:semiHidden/>
    <w:unhideWhenUsed/>
    <w:rsid w:val="00595842"/>
    <w:rPr>
      <w:rFonts w:ascii="Helvetica" w:hAnsi="Helvetic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5842"/>
    <w:rPr>
      <w:rFonts w:ascii="Helvetica" w:hAnsi="Helvetica"/>
    </w:rPr>
  </w:style>
  <w:style w:type="paragraph" w:styleId="NormalWeb">
    <w:name w:val="Normal (Web)"/>
    <w:basedOn w:val="Normal"/>
    <w:uiPriority w:val="99"/>
    <w:unhideWhenUsed/>
    <w:rsid w:val="00584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bdr w:val="none" w:sz="0" w:space="0" w:color="auto"/>
      <w:lang w:val="en-GB" w:eastAsia="en-GB"/>
    </w:rPr>
  </w:style>
  <w:style w:type="paragraph" w:styleId="Revision">
    <w:name w:val="Revision"/>
    <w:hidden/>
    <w:uiPriority w:val="99"/>
    <w:semiHidden/>
    <w:rsid w:val="00BC51B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style>
  <w:style w:type="paragraph" w:styleId="NoSpacing">
    <w:name w:val="No Spacing"/>
    <w:link w:val="NoSpacingChar"/>
    <w:uiPriority w:val="1"/>
    <w:qFormat/>
    <w:rsid w:val="00E30C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customStyle="1" w:styleId="NoSpacingChar">
    <w:name w:val="No Spacing Char"/>
    <w:link w:val="NoSpacing"/>
    <w:uiPriority w:val="1"/>
    <w:rsid w:val="00E30C40"/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BodyTextIndent">
    <w:name w:val="Body Text Indent"/>
    <w:basedOn w:val="Normal"/>
    <w:link w:val="BodyTextIndentChar"/>
    <w:uiPriority w:val="99"/>
    <w:unhideWhenUsed/>
    <w:rsid w:val="00654EA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284"/>
      <w:jc w:val="both"/>
    </w:pPr>
    <w:rPr>
      <w:rFonts w:eastAsia="Times New Roman"/>
      <w:bdr w:val="none" w:sz="0" w:space="0" w:color="auto"/>
      <w:lang w:val="sq-AL" w:eastAsia="sq-A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54EAA"/>
    <w:rPr>
      <w:rFonts w:eastAsia="Times New Roman"/>
      <w:bdr w:val="none" w:sz="0" w:space="0" w:color="auto"/>
      <w:lang w:val="sq-AL" w:eastAsia="sq-AL"/>
    </w:rPr>
  </w:style>
  <w:style w:type="character" w:styleId="FootnoteReference">
    <w:name w:val="footnote reference"/>
    <w:basedOn w:val="DefaultParagraphFont"/>
    <w:uiPriority w:val="99"/>
    <w:unhideWhenUsed/>
    <w:rsid w:val="00654EAA"/>
    <w:rPr>
      <w:vertAlign w:val="superscript"/>
    </w:rPr>
  </w:style>
  <w:style w:type="paragraph" w:styleId="FootnoteText">
    <w:name w:val="footnote text"/>
    <w:aliases w:val="Char Char"/>
    <w:basedOn w:val="Normal"/>
    <w:link w:val="FootnoteTextChar"/>
    <w:uiPriority w:val="99"/>
    <w:unhideWhenUsed/>
    <w:rsid w:val="000B65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0"/>
      <w:szCs w:val="20"/>
      <w:bdr w:val="none" w:sz="0" w:space="0" w:color="auto"/>
      <w:lang w:val="sq-AL" w:eastAsia="sq-AL"/>
    </w:rPr>
  </w:style>
  <w:style w:type="character" w:customStyle="1" w:styleId="FootnoteTextChar">
    <w:name w:val="Footnote Text Char"/>
    <w:aliases w:val="Char Char Char"/>
    <w:basedOn w:val="DefaultParagraphFont"/>
    <w:link w:val="FootnoteText"/>
    <w:uiPriority w:val="99"/>
    <w:rsid w:val="000B65E3"/>
    <w:rPr>
      <w:rFonts w:ascii="Calibri" w:eastAsia="Times New Roman" w:hAnsi="Calibri"/>
      <w:sz w:val="20"/>
      <w:szCs w:val="20"/>
      <w:bdr w:val="none" w:sz="0" w:space="0" w:color="auto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9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66C085-E355-4261-8A54-7F4C0A71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3475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Amela Kora</cp:lastModifiedBy>
  <cp:revision>2</cp:revision>
  <cp:lastPrinted>2020-06-29T07:36:00Z</cp:lastPrinted>
  <dcterms:created xsi:type="dcterms:W3CDTF">2020-07-06T16:51:00Z</dcterms:created>
  <dcterms:modified xsi:type="dcterms:W3CDTF">2020-07-06T16:51:00Z</dcterms:modified>
</cp:coreProperties>
</file>